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ZwVwV — Zustimmungsvorbehalte</w:t>
      </w:r>
    </w:p>
    <w:p>
      <w:r>
        <w:rPr>
          <w:color w:val="555555"/>
          <w:sz w:val="18"/>
        </w:rPr>
        <w:t xml:space="preserve">Zwangsverwalterverordnung</w:t>
      </w:r>
    </w:p>
    <w:p>
      <w:r>
        <w:rPr>
          <w:color w:val="555555"/>
          <w:sz w:val="18"/>
        </w:rPr>
        <w:t xml:space="preserve">Stand: 10.06.2019 (konsolidierte Textfassung, kein amtliches Inkrafttretensdatum)</w:t>
      </w:r>
    </w:p>
    <w:p>
      <w:r>
        <w:t xml:space="preserve">(1) Der Verwalter hat zu folgenden Maßnahmen die vorherige Zustimmung des Gerichts einzuholen:</w:t>
      </w:r>
    </w:p>
    <w:p>
      <w:pPr>
        <w:ind w:left="420"/>
      </w:pPr>
      <w:r>
        <w:t xml:space="preserve">1. wesentliche Änderungen zu der nach § 5 gebotenen Nutzung; dies gilt auch für die Fertigstellung begonnener Bauvorhaben;</w:t>
      </w:r>
    </w:p>
    <w:p>
      <w:pPr>
        <w:ind w:left="420"/>
      </w:pPr>
      <w:r>
        <w:t xml:space="preserve">2. vertragliche Abweichungen von dem Klauselkatalog des § 6 Abs. 2;</w:t>
      </w:r>
    </w:p>
    <w:p>
      <w:pPr>
        <w:ind w:left="420"/>
      </w:pPr>
      <w:r>
        <w:t xml:space="preserve">3. Ausgaben, die entgegen dem Gebot des § 9 Abs. 2 aus bereits vorhandenen Mitteln nicht gedeckt sind;</w:t>
      </w:r>
    </w:p>
    <w:p>
      <w:pPr>
        <w:ind w:left="420"/>
      </w:pPr>
      <w:r>
        <w:t xml:space="preserve">4. Zahlung von Vorschüssen an Auftragnehmer im Zusammenhang insbesondere mit der Erbringung handwerklicher Leistungen;</w:t>
      </w:r>
    </w:p>
    <w:p>
      <w:pPr>
        <w:ind w:left="420"/>
      </w:pPr>
      <w:r>
        <w:t xml:space="preserve">5. Ausbesserungen und Erneuerungen am Zwangsverwaltungsobjekt, die nicht zu der gewöhnlichen Instandhaltung gehören, insbesondere wenn der Aufwand der jeweiligen Maßnahme 15 Prozent des vom Verwalter nach pflichtgemäßem Ermessen geschätzten Verkehrswertes des Zwangsverwaltungsobjektes überschreitet;</w:t>
      </w:r>
    </w:p>
    <w:p>
      <w:pPr>
        <w:ind w:left="420"/>
      </w:pPr>
      <w:r>
        <w:t xml:space="preserve">6. Durchsetzung von Gewährleistungsansprüchen im Zusammenhang mit Baumaßnahmen nach § 5 Abs. 3.</w:t>
      </w:r>
    </w:p>
    <w:p>
      <w:r>
        <w:t xml:space="preserve">(2) Das Gericht hat den Gläubiger und den Schuldner vor seiner Entscheidung anzuhören.</w:t>
      </w:r>
    </w:p>
    <w:p>
      <w:r>
        <w:rPr>
          <w:color w:val="555555"/>
          <w:sz w:val="17"/>
        </w:rPr>
        <w:t xml:space="preserve">Zitiervorschlag: § 10 ZwVwV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https://recht.nulegal.eu/gesetze/ZwVwV/10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