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ZwVerbSG (Brandenburg) — Inkrafttreten, Geltungsbereich</w:t>
      </w:r>
    </w:p>
    <w:p>
      <w:r>
        <w:rPr>
          <w:color w:val="555555"/>
          <w:sz w:val="18"/>
        </w:rPr>
        <w:t xml:space="preserve">Zweckverbandssicherungsgesetz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§§ 1 bis 6 gelten nur für solche Rechtsfehler, die vor dem Inkrafttreten dieses Gesetzes aufgetreten sind. §§ 7 und 8 finden keine Anwendung auf Zweckverbände, die nach Inkrafttreten dieses Gesetzes gebildet werden.</w:t>
      </w:r>
    </w:p>
    <w:p>
      <w:r>
        <w:t xml:space="preserve">(3) Die Vorschriften des Gesetzes über die Bildung von Gewässerunterhaltungsverbänden vom 13. März 1995 (GVBl. I S. 14) bleiben unberührt.</w:t>
      </w:r>
    </w:p>
    <w:p>
      <w:r>
        <w:t xml:space="preserve">Potsdam, den 4. Dezember 1996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9 ZwVerbSG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https://recht.nulegal.eu/gesetze/ZwVerbSG/9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