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ZwVerbSG (Brandenburg) — Unbeachtlichkeit der Verletzung von Vorschriften über die Vereinbarung der Verbandssatzung</w:t>
      </w:r>
    </w:p>
    <w:p>
      <w:r>
        <w:rPr>
          <w:color w:val="555555"/>
          <w:sz w:val="18"/>
        </w:rPr>
        <w:t xml:space="preserve">Zweckverbandssicherungsgesetz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Verstöße gegen die Vertretungsberechtigung sowie Form- und Verfahrensfehler bei der Vereinbarung der Verbandssatzung zur Bildung eines Zweckverbandes nach den Vorschriften des Zweckverbandsgesetzes vom 7. Juni 1939 (RGBl. I S. 979), geändert durch Verordnung vom 11. Juni</w:t>
      </w:r>
    </w:p>
    <w:p>
      <w:r>
        <w:t xml:space="preserve">1940 (RGBl. I S. 876) und Verordnung vom 24. Juli 1941 (RGBl. I S. 464), gelten als von Anfang an unbeachtlich, wenn</w:t>
      </w:r>
    </w:p>
    <w:p>
      <w:r>
        <w:t xml:space="preserve">die Verbandssatzung den nach § 24 Abs. 1 des Zweckverbandsgesetzes notwendigen Inhalt aufweist,</w:t>
      </w:r>
    </w:p>
    <w:p>
      <w:r>
        <w:t xml:space="preserve">die Verbandssatzung und der Beschluß über die Bildung des Zweckverbandes unter Feststellung der Verbandssatzung nach § 11 Abs. 2 des Zweckverbandsgesetzes oder nach § 5 bekanntgemacht worden sind und</w:t>
      </w:r>
    </w:p>
    <w:p>
      <w:r>
        <w:t xml:space="preserve">die Beteiligten durch Entsendung von stimmberechtigten Vertretern für die Verbandsversammlung und durch deren mehrmalige Teilnahme an den Sitzungen und Beschlußfassungen der Verbandsversammlung als Verbandsmitglieder aufgetreten sind.</w:t>
      </w:r>
    </w:p>
    <w:p>
      <w:r>
        <w:t xml:space="preserve">(2) Weist die von der zuständigen Behörde festgestellte und bekanntgemachte Satzung im Falle von Absatz 1 ein Verbandsmitglied auf, das nicht im Sinne von Absatz 1 Nr. 3 aufgetreten ist, so gilt der Zweckverband mit den übrigen in der Verbandssatzung benannten Mitgliedern als entstanden,</w:t>
      </w:r>
    </w:p>
    <w:p>
      <w:r>
        <w:t xml:space="preserve">wenn diese ohne Beteiligung des in der Verbandssatzung zu Unrecht benannten Verbandsmitgliedes den Zweckverband in Vollzug gesetzt haben. Die Satzung eines Zweckverbandes, der nach Satz 1 entstanden ist, ist innerhalb von sechs Monaten nach Inkrafttreten dieses Gesetzes entsprechend anzupassen,</w:t>
      </w:r>
    </w:p>
    <w:p>
      <w:r>
        <w:t xml:space="preserve">der Aufsichtsbehörde anzuzeigen und von dieser gemäß § 11 Abs. 1 des Gesetzes über kommunale Gemeinschaftsarbeit im Land Brandenburg bekanntzumachen.</w:t>
      </w:r>
    </w:p>
    <w:p>
      <w:r>
        <w:rPr>
          <w:color w:val="555555"/>
          <w:sz w:val="17"/>
        </w:rPr>
        <w:t xml:space="preserve">Zitiervorschlag: § 4 ZwVerbSG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https://recht.nulegal.eu/gesetze/ZwVerbSG/4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