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ZwVerbSG (Brandenburg) — Unbeachtlichkeit der Verletzung von Vorschriften über den Beitritt und das Ausscheiden von Verbandsmitgliedern</w:t>
      </w:r>
    </w:p>
    <w:p>
      <w:r>
        <w:rPr>
          <w:color w:val="555555"/>
          <w:sz w:val="18"/>
        </w:rPr>
        <w:t xml:space="preserve">Zweckverbandssicherungsgesetz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Verstöße gegen die Vertretungsberechtigung sowie Form- und Verfahrensfehler beim Beitritt oder Ausscheiden von Verbandsmitgliedern gelten als von Anfang an unbeachtlich, wenn</w:t>
      </w:r>
    </w:p>
    <w:p>
      <w:r>
        <w:t xml:space="preserve">die Verbandsversammlung auf Antrag des beitretenden oder ausscheidenden Mitgliedes mit der erforderlichen Stimmenzahl eine Änderungssatzung über den Beitritt oder das Ausscheiden nach § 20 Abs. 1 Satz 1 des Gesetzes über kommunale Gemeinschaftsarbeit im Land Brandenburg beschlossen hat,</w:t>
      </w:r>
    </w:p>
    <w:p>
      <w:r>
        <w:t xml:space="preserve">die Änderungssatzung von der zuständigen Aufsichtsbehörde im vollen Wortlaut in ihrem Veröffentlichungsblatt bekanntgemacht worden ist und</w:t>
      </w:r>
    </w:p>
    <w:p>
      <w:r>
        <w:t xml:space="preserve">das beitretende oder ausscheidende Verbandsmitglied sowie der Zweckverband den Beitritt oder das Ausscheiden tatsächlich vollzogen haben.</w:t>
      </w:r>
    </w:p>
    <w:p>
      <w:r>
        <w:t xml:space="preserve">§ 2 Abs. 2 gilt entsprechend.</w:t>
      </w:r>
    </w:p>
    <w:p>
      <w:r>
        <w:t xml:space="preserve">(2) Hat die Verbandsversammlung einen Beschluß über den Beitritt oder das Ausscheiden von Verbandsmitgliedern gefaßt, ohne eine Änderung</w:t>
      </w:r>
    </w:p>
    <w:p>
      <w:r>
        <w:t xml:space="preserve">der Verbandssatzung zu beschließen, so ist die Beschlußfassung über die Änderungssatzung innerhalb von sechs Monaten nach Inkrafttreten dieses Gesetzes durch die Verbandsversammlung nachzuholen, wenn</w:t>
      </w:r>
    </w:p>
    <w:p>
      <w:r>
        <w:t xml:space="preserve">die Beschlußfassung über den Beitritt oder das Ausscheiden der Verbandsmitglieder mit der Stimmenzahl gefaßt worden ist, die für eine Satzungsänderung nach § 20 Abs. 1 Satz 1 des Gesetzes über kommunale Gemeinschaftsarbeit im Land Brandenburg erforderlich gewesen ist,</w:t>
      </w:r>
    </w:p>
    <w:p>
      <w:r>
        <w:t xml:space="preserve">die Beschlußfassung auf einen Antrag des beitretenden oder ausscheidenden Verbandsmitgliedes hin erfolgt ist und</w:t>
      </w:r>
    </w:p>
    <w:p>
      <w:r>
        <w:t xml:space="preserve">das beitretende oder das ausscheidende Verbandsmitglied sowie der Zweckverband den Beitritt oder das Ausscheiden tatsächlich vollzogen haben.</w:t>
      </w:r>
    </w:p>
    <w:p>
      <w:r>
        <w:t xml:space="preserve">Die Änderungssatzung hat den Zeitpunkt, zu dem der Beitritt oder das Ausscheiden erfolgt ist, zu benennen. Der Zeitpunkt richtet sich nach dem Zeitpunkt der Beschlußfassung der Verbandsversammlung, soweit</w:t>
      </w:r>
    </w:p>
    <w:p>
      <w:r>
        <w:t xml:space="preserve">nicht in der Beschlußfassung ein späterer Zeitpunkt bestimmt gewesen ist. Die Änderung der Verbandssatzung wird mit dem Zeitpunkt wirksam, zu dem der Beitritt oder das Ausscheiden erfolgt ist.</w:t>
      </w:r>
    </w:p>
    <w:p>
      <w:r>
        <w:t xml:space="preserve">(3) Die Mitwirkung eines Nichtmitgliedes an einer Beschlußfassung nach Absatz 1 oder 2 hat die Unwirksamkeit des Beschlusses nur dann zur Folge, wenn seine Mitwirkung für das Abstimmungsergebnis entscheidend war.</w:t>
      </w:r>
    </w:p>
    <w:p>
      <w:r>
        <w:t xml:space="preserve">(4) Änderungssatzungen über den Beitritt oder das Ausscheiden von Verbandsmitgliedern, die nicht oder nicht von der zuständigen Aufsichtsbehörde bekanntgemacht worden sind, sind der zuständigen</w:t>
      </w:r>
    </w:p>
    <w:p>
      <w:r>
        <w:t xml:space="preserve">Aufsichtsbehörde anzuzeigen und von dieser bei Vorliegen der gesetzlichen Voraussetzungen innerhalb von sechs Monaten nach Inkrafttreten dieses Gesetzes bekanntzumachen. Die Änderung der Verbandssatzung wird mit dem Zeitpunkt</w:t>
      </w:r>
    </w:p>
    <w:p>
      <w:r>
        <w:t xml:space="preserve">wirksam, zu dem der Beitritt oder das Ausscheiden erfolgt ist.</w:t>
      </w:r>
    </w:p>
    <w:p>
      <w:r>
        <w:t xml:space="preserve">II. Teil</w:t>
      </w:r>
    </w:p>
    <w:p>
      <w:r>
        <w:t xml:space="preserve">Unbeachtlichkeit von Rechtsfehlern bei der Bildung von Zweckverbänden nach den Vorschriften des Zweckverbandsgesetzes</w:t>
      </w:r>
    </w:p>
    <w:p>
      <w:r>
        <w:rPr>
          <w:color w:val="555555"/>
          <w:sz w:val="17"/>
        </w:rPr>
        <w:t xml:space="preserve">Zitiervorschlag: § 3 ZwVerbSG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https://recht.nulegal.eu/gesetze/ZwVerbSG/3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