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ZwVBaySaStV (Bayern)</w:t>
      </w:r>
    </w:p>
    <w:p>
      <w:r>
        <w:rPr>
          <w:color w:val="555555"/>
          <w:sz w:val="18"/>
        </w:rPr>
        <w:t xml:space="preserve">Staatsvertrag zwischen dem Freistaat Bayern und dem Freistaat Sachsen über Zweckverbände und Zweckvereinbarungen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Staatsvertrag tritt nach Zustimmung der verfassungsmäßig zuständigen Organe der vertragschließenden Länder an dem Tag in Kraft, der auf den Austausch der Ratifikationsurkunden folgt.</w:t>
      </w:r>
    </w:p>
    <w:p>
      <w:r>
        <w:rPr>
          <w:color w:val="555555"/>
          <w:sz w:val="17"/>
        </w:rPr>
        <w:t xml:space="preserve">Zitiervorschlag: Art 5 ZwVBaySaStV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https://recht.nulegal.eu/gesetze/ZwVBaySaStV/5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