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ZwVBaySaStV (Bayern)</w:t>
      </w:r>
    </w:p>
    <w:p>
      <w:r>
        <w:rPr>
          <w:color w:val="555555"/>
          <w:sz w:val="18"/>
        </w:rPr>
        <w:t xml:space="preserve">Staatsvertrag zwischen dem Freistaat Bayern und dem Freistaat Sachsen über Zweckverbände und Zweckvereinbarungen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vertragschließenden Länder können diesen Staatsvertrag mit einer Frist von einem Jahr zum Ende eines Kalenderjahres kündigen. Die Artikel 2 und 3 gelten jedoch für die vor dem Außerkrafttreten des Staatsvertrages rechtswirksam zustande gekommenen Zweckverbände und Zweckvereinbarungen weiter.</w:t>
      </w:r>
    </w:p>
    <w:p>
      <w:r>
        <w:rPr>
          <w:color w:val="555555"/>
          <w:sz w:val="17"/>
        </w:rPr>
        <w:t xml:space="preserve">Zitiervorschlag: Art 4 ZwVBaySaStV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https://recht.nulegal.eu/gesetze/ZwVBaySaStV/4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