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ZwStV (Brandenburg)</w:t>
      </w:r>
    </w:p>
    <w:p>
      <w:r>
        <w:rPr>
          <w:color w:val="555555"/>
          <w:sz w:val="18"/>
        </w:rPr>
        <w:t xml:space="preserve">Verordnung über die Errichtung von Zweigstellen in der ordentlichen Gerichtsbarkeit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1. Dezember 1993 in Kraft.</w:t>
      </w:r>
    </w:p>
    <w:p>
      <w:r>
        <w:t xml:space="preserve">(2) Gleichzeitig tritt die Verordnung über die Errichtung von Zweigstellen und Abhaltung von Gerichtstagen der Kreisgerichte im Land Brandenburg vom 15. Dezember 1992 ( GVBl. II S. 780) außer Kraft.</w:t>
      </w:r>
    </w:p>
    <w:p>
      <w:r>
        <w:rPr>
          <w:color w:val="555555"/>
          <w:sz w:val="17"/>
        </w:rPr>
        <w:t xml:space="preserve">Zitiervorschlag: § 9 ZwStV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https://recht.nulegal.eu/gesetze/ZwStV/9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