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ZwEWG (Bayern) — Einschränkung von Grundrechten</w:t>
      </w:r>
    </w:p>
    <w:p>
      <w:r>
        <w:rPr>
          <w:color w:val="555555"/>
          <w:sz w:val="18"/>
        </w:rPr>
        <w:t xml:space="preserve">Zweckentfremdungsgesetz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der Grundlage dieses Gesetzes und der nach Art. 1 ergangenen Satzungen wird das Grundrecht der Unverletzlichkeit der Wohnung eingeschränkt (Art. 13 des Grundgesetzes, Art. 106 Abs. 3 der Verfassung).</w:t>
      </w:r>
    </w:p>
    <w:p>
      <w:r>
        <w:rPr>
          <w:color w:val="555555"/>
          <w:sz w:val="17"/>
        </w:rPr>
        <w:t xml:space="preserve">Zitiervorschlag: Art 5 ZwEWG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https://recht.nulegal.eu/gesetze/ZwEWG/5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