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ZwEWG (Bayern) — Anordnungen und Sofortvollzug</w:t>
      </w:r>
    </w:p>
    <w:p>
      <w:r>
        <w:rPr>
          <w:color w:val="555555"/>
          <w:sz w:val="18"/>
        </w:rPr>
        <w:t xml:space="preserve">Zweckentfremdungsgesetz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dinglich Verfügungsberechtigten, Besitzer, Verwalter und Vermittler sowie Energie- und Wasserversorger haben der Gemeinde im Einzelfall bei Vorliegen von tatsächlichen Anhaltspunkten, dass ein Verstoß gegen dieses Gesetz vorliegt, die Auskünfte zu geben und die Unterlagen vorzulegen, die erforderlich sind, um die Einhaltung der Vorschriften dieses Gesetzes zu überwachen. Sie haben dazu auch den von der Gemeinde beauftragten Personen zu ermöglichen, zu angemessener Tageszeit Grundstücke, Gebäude, Wohnungen und Wohnräume zu betreten. Die Auskunftspflichtigen haben auch Tatsachen zu offenbaren, die geeignet sind, eine Verfolgung wegen einer Straftat oder einer Ordnungswidrigkeit herbeizuführen. Jedoch darf eine Auskunft, die ein Auskunftspflichtiger gemäß seiner Verpflichtung nach Satz 1 erteilt, in einem Strafverfahren oder einem Verfahren nach dem Gesetz über Ordnungswidrigkeiten gegen den Auskunftspflichtigen oder einen in § 52 Abs. 1 der Strafprozessordnung bezeichneten Angehörigen nur mit Zustimmung des Auskunftspflichtigen verwendet werden.</w:t>
      </w:r>
    </w:p>
    <w:p>
      <w:r>
        <w:t xml:space="preserve">(2) Die Gemeinde kann anordnen, dass eine nicht genehmigungsfähige Zweckentfremdung beendet und der Wohnraum wieder Wohnzwecken zugeführt wird.</w:t>
      </w:r>
    </w:p>
    <w:p>
      <w:r>
        <w:t xml:space="preserve">(3) Klagen gegen Verwaltungsakte zum Vollzug dieses Gesetzes haben keine aufschiebende Wirkung.</w:t>
      </w:r>
    </w:p>
    <w:p>
      <w:r>
        <w:rPr>
          <w:color w:val="555555"/>
          <w:sz w:val="17"/>
        </w:rPr>
        <w:t xml:space="preserve">Zitiervorschlag: Art 3 ZwEWG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https://recht.nulegal.eu/gesetze/ZwEWG/3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