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ZwEWG (Bayern) — Genehmigung</w:t>
      </w:r>
    </w:p>
    <w:p>
      <w:r>
        <w:rPr>
          <w:color w:val="555555"/>
          <w:sz w:val="18"/>
        </w:rPr>
        <w:t xml:space="preserve">Zweckentfremdungsgesetz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w:t>
      </w:r>
    </w:p>
    <w:p>
      <w:r>
        <w:t xml:space="preserve">1. ist zu erteilen, wenn vorrangige öffentliche Interessen oder schutzwürdige private Interessen das Interesse an der Erhaltung des Wohnraums überwiegen,</w:t>
      </w:r>
    </w:p>
    <w:p>
      <w:r>
        <w:t xml:space="preserve">2. kann im Übrigen erteilt werden, wenn dem Interesse an der Erhaltung des Wohnraums durch Ausgleichsmaßnahmen in verlässlicher und angemessener Weise Rechnung getragen wird; dies kann durch Bereitstellung von Ersatzwohnraum oder durch eine Ausgleichszahlung geschehen.</w:t>
      </w:r>
    </w:p>
    <w:p>
      <w:r>
        <w:t xml:space="preserve">Die Genehmigung wirkt für und gegen den Rechtsnachfolger; das Gleiche gilt auch für Personen, die den Besitz nach Erteilung der Genehmigung erlangt haben. Die Erteilung einer Genehmigung erfolgt unabhängig von der Beantragung oder Erteilung einer Registrierungsnummer nach Art. 2a Abs. 4.</w:t>
      </w:r>
    </w:p>
    <w:p>
      <w:r>
        <w:t xml:space="preserve">(2) Über den Antrag auf Erteilung einer Genehmigung nach Abs. 1 entscheidet die Gemeinde innerhalb einer Frist von drei Monaten; abweichende Entscheidungsfristen kann die Gemeinde in einer vorab öffentlich bekannt zu machenden Fristenregelung (behördlicher Fristenplan) festsetzen. Nach Ablauf der Frist gilt die Genehmigung als erteilt. Das Verfahren nach Abs. 1 kann über eine einheitliche Stelle abgewickelt werden.</w:t>
      </w:r>
    </w:p>
    <w:p>
      <w:r>
        <w:rPr>
          <w:color w:val="555555"/>
          <w:sz w:val="17"/>
        </w:rPr>
        <w:t xml:space="preserve">Zitiervorschlag: Art 2 ZwEWG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https://recht.nulegal.eu/gesetze/ZwEWG/2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