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ZuwVAbwAG (Bayern)</w:t>
      </w:r>
    </w:p>
    <w:p>
      <w:r>
        <w:rPr>
          <w:color w:val="555555"/>
          <w:sz w:val="18"/>
        </w:rPr>
        <w:t xml:space="preserve">Abwasserabgabenzuweisungs-Verordnung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16 Abs. 3 des Bayerischen Gesetzes zur Ausführung des Abwasserabgabengesetzes erläßt das Bayerische Staatsministerium des Innern im Einvernehmen mit dem Bayerischen Staatsministerium der Finanzen folgende Verordnung:</w:t>
      </w:r>
    </w:p>
    <w:p>
      <w:r>
        <w:rPr>
          <w:color w:val="555555"/>
          <w:sz w:val="17"/>
        </w:rPr>
        <w:t xml:space="preserve">Zitiervorschlag: Eingangsformel ZuwVAbwAG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https://recht.nulegal.eu/gesetze/ZuwVAbwAG/eingangsformel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