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ZustWaffVIM (Bayern)</w:t>
      </w:r>
    </w:p>
    <w:p>
      <w:r>
        <w:rPr>
          <w:color w:val="555555"/>
          <w:sz w:val="18"/>
        </w:rPr>
        <w:t xml:space="preserve">Verordnung über Zuständigkeiten im Waffenrecht im Geschäftsbereich des Bayerischen Staatsministeriums des Innern, für Sport und Integration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§ 48 Abs. 1 des Waffengesetzes (WaffG) vom 11. Oktober 2002 (BGBl I S. 3970, ber. S. 4592, 2003 I S. 1957), zuletzt geändert durch Art. 3 Abs. 5 des Gesetzes vom 17. Juli 2009 (BGBl I S. 2062), in Verbindung mit § 3 Abs. 1 Satz 2 der Verordnung zur Ausführung des Waffen- und Beschussrechts (AVWaffBeschR) vom 14. Dezember 2010 (GVBl S. 851, BayRS 2186-1-I)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ZustWaffVIM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https://recht.nulegal.eu/gesetze/ZustWaffVIM/eingangsformel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