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ZustVVerk (Bayern) — Übertragung von Befugnissen der obersten Landesstraßenbaubehörde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Übertragen werden die Befugnisse der obersten Landesstraßenbaubehörde</w:t>
      </w:r>
    </w:p>
    <w:p>
      <w:r>
        <w:t xml:space="preserve">1. nach § 5 Abs. 3a Satz 2, Abs. 4 Satz 4 und § 9a Abs. 5 FStrG auf die Regierungen,</w:t>
      </w:r>
    </w:p>
    <w:p>
      <w:r>
        <w:t xml:space="preserve">2. nach § 8 Abs. 1 Satz 5 FStrG auf die Rechtsaufsichtsbehörden der Gemeinden,</w:t>
      </w:r>
    </w:p>
    <w:p>
      <w:r>
        <w:t xml:space="preserve">3. nach § 9 Abs. 2, 5 und 8 FStrG für die Bundesstraßen</w:t>
      </w:r>
    </w:p>
    <w:p>
      <w:r>
        <w:t xml:space="preserve">a) auf die Regierungen, wenn ein Verfahren nach Art. 73 der Bayerischen Bauordnung (BayBO) durchgeführt wird,</w:t>
      </w:r>
    </w:p>
    <w:p>
      <w:r>
        <w:t xml:space="preserve">b) auf die Staatlichen Bauämter, wenn nach § 9 Abs. 5 FStrG bauliche Anlagen keiner Baugenehmigung, keiner Abweichung gemäß Art. 63 BayBO und keiner sonstigen Genehmigung bedürfen,</w:t>
      </w:r>
    </w:p>
    <w:p>
      <w:r>
        <w:t xml:space="preserve">c) im Übrigen auf die unteren Bauaufsichtsbehörden im Sinne des Art. 53 Abs. 1 Satz 1, Abs. 2 Satz 1 BayBO, die im Einvernehmen mit den Staatlichen Bauämtern entscheiden,</w:t>
      </w:r>
    </w:p>
    <w:p>
      <w:r>
        <w:t xml:space="preserve">4. nach § 9 Abs. 2b und 2c FStrG für die Bundesstraßen auf die Staatlichen Bauämter,</w:t>
      </w:r>
    </w:p>
    <w:p>
      <w:r>
        <w:t xml:space="preserve">5. nach § 17b Abs. 4 FStrG zur Erteilung einer Plangenehmigung und zur Entscheidung über das Entfallen von Planfeststellung und Plangenehmigung auf die Regierungen.</w:t>
      </w:r>
    </w:p>
    <w:p>
      <w:r>
        <w:rPr>
          <w:color w:val="555555"/>
          <w:sz w:val="17"/>
        </w:rPr>
        <w:t xml:space="preserve">Zitiervorschlag: § 6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