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ZustVVerk (Bayern) — Inkrafttreten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1999 in Kraft. Abweichend von Satz 1 treten</w:t>
      </w:r>
    </w:p>
    <w:p>
      <w:r>
        <w:t xml:space="preserve">1. § 26 am 1. März 1999,</w:t>
      </w:r>
    </w:p>
    <w:p>
      <w:r>
        <w:t xml:space="preserve">2. § 13 Abs. 4 am 1. Dezember 1999</w:t>
      </w:r>
    </w:p>
    <w:p>
      <w:r>
        <w:t xml:space="preserve">in Kraft.</w:t>
      </w:r>
    </w:p>
    <w:p>
      <w:r>
        <w:rPr>
          <w:color w:val="555555"/>
          <w:sz w:val="17"/>
        </w:rPr>
        <w:t xml:space="preserve">Zitiervorschlag: § 31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