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ZustVVerk (Bayern) — Zuständigkeit der Landratsämter, kreisfreien Gemeinden und Großen Kreisstädte</w:t>
      </w:r>
    </w:p>
    <w:p>
      <w:r>
        <w:rPr>
          <w:color w:val="555555"/>
          <w:sz w:val="18"/>
        </w:rPr>
        <w:t xml:space="preserve">Verordnung über Zuständigkeiten im Verkehrswesen BayRS 9210-2-I/B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Landratsämter, kreisfreien Gemeinden und Großen Kreisstädte als untere Straßenverkehrsbehörden sind sachlich zuständig</w:t>
      </w:r>
    </w:p>
    <w:p>
      <w:r>
        <w:t xml:space="preserve">1. für die Erteilung von Ausnahmen</w:t>
      </w:r>
    </w:p>
    <w:p>
      <w:r>
        <w:t xml:space="preserve">a) von der Verpflichtung zum Aufstellen des Warndreiecks (§ 15 Satz 2 StVO),</w:t>
      </w:r>
    </w:p>
    <w:p>
      <w:r>
        <w:t xml:space="preserve">b) von den Verboten, auf den mit Zeichen 330.1 und 330.2 StVO gekennzeichneten Autobahnen, die nicht in der Baulast des Bundes liegen,</w:t>
      </w:r>
    </w:p>
    <w:p>
      <w:r>
        <w:t xml:space="preserve">aa) an nicht gekennzeichneten Anschlußstellen einzufahren (§ 18 Abs. 2 StVO),</w:t>
      </w:r>
    </w:p>
    <w:p>
      <w:r>
        <w:t xml:space="preserve">bb) zu halten (§ 18 Abs. 8 StVO),</w:t>
      </w:r>
    </w:p>
    <w:p>
      <w:r>
        <w:t xml:space="preserve">cc) an nicht gekennzeichneten Anschlußstellen auszufahren (§ 18 Abs. 10 Satz 1 StVO),</w:t>
      </w:r>
    </w:p>
    <w:p>
      <w:r>
        <w:t xml:space="preserve">c) von den Verboten, auf Kraftfahrstraßen</w:t>
      </w:r>
    </w:p>
    <w:p>
      <w:r>
        <w:t xml:space="preserve">aa) an anderen Stellen als an Kreuzungen und Einmündungen einzufahren (§ 18 Abs. 2 StVO),</w:t>
      </w:r>
    </w:p>
    <w:p>
      <w:r>
        <w:t xml:space="preserve">bb) zu halten (§ 18 Abs. 8 StVO),</w:t>
      </w:r>
    </w:p>
    <w:p>
      <w:r>
        <w:t xml:space="preserve">cc) an anderen Stellen als an Kreuzungen und Einmündungen auszufahren (§ 18 Abs. 10 Satz 2 StVO),</w:t>
      </w:r>
    </w:p>
    <w:p>
      <w:r>
        <w:t xml:space="preserve">d) von dem Verbot, auf Autobahnen mit im Ausland zugelassenen Kraftomnibussen ohne Anhänger schneller als 80 km/h zu fahren (§ 18 Abs. 5 Satz 2 Nr. 1 StVO),</w:t>
      </w:r>
    </w:p>
    <w:p>
      <w:r>
        <w:t xml:space="preserve">e) von dem Verbot, im Rahmen einer Veranstaltung gemäß § 29 Abs. 2 StVO Sport und Spiele auf der Fahrbahn und den Seitenstreifen zu betreiben, soweit sie Erlaubnisbehörden sind (§ 31 StVO),</w:t>
      </w:r>
    </w:p>
    <w:p>
      <w:r>
        <w:t xml:space="preserve">f) von dem Verbot, außerhalb geschlossener Ortschaften Werbung und Propaganda durch Bild, Schrift, Licht oder Ton zu betreiben (§ 33 Abs. 1 Satz 1 Nr. 3 StVO), soweit nicht die Bundesverwaltung zuständig ist,</w:t>
      </w:r>
    </w:p>
    <w:p>
      <w:r>
        <w:t xml:space="preserve">g) von dem Verbot, innerhalb geschlossener Ortschaften Werbung und Propaganda, die auf den Verkehr außerhalb geschlossener Ortschaften wirkt, durch Bild, Schrift, Licht oder Ton zu betreiben (§ 33 Abs. 1 Satz 2 StVO), soweit nicht die Bundesverwaltung zuständig ist,</w:t>
      </w:r>
    </w:p>
    <w:p>
      <w:r>
        <w:t xml:space="preserve">h) von dem Verbot, Gehwege zur Reinigung mit Fahrzeugen über 2,8 t (§ 35 Abs. 6 Satz 1 letzte Alternative StVO) zu befahren, soweit nicht die örtlichen Straßenverkehrsbehörden zuständig sind,</w:t>
      </w:r>
    </w:p>
    <w:p>
      <w:r>
        <w:t xml:space="preserve">i) von den Verboten, die von der örtlichen Straßenverkehrsbehörde durch Vorschriftzeichen (§ 41 StVO), Richtzeichen (§ 42 StVO) oder Verkehrseinrichtungen (§ 43 StVO) angeordnet sind und in den in § 5 Abs. 1 Nr. 5 genannten Fällen, wenn im Einzelfall eine Ausnahmegenehmigung über den Zuständigkeitsbereich der örtlichen Straßenverkehrsbehörde hinaus beantragt wird,</w:t>
      </w:r>
    </w:p>
    <w:p>
      <w:r>
        <w:t xml:space="preserve">j) von Zeichen 286, Zeichen 290.1, Zeichen 314, Zeichen 314.1 und Zeichen 315 (jeweils mit Zusatzzeichen) und Zeichen 325.1, von der Betätigung von Parkuhren und Parkscheinautomaten (§ 13 Abs. 1 StVO), vom Verbot des Parkens auf Gehwegen (§ 12 Abs. 4 StVO) und vom Verbot der Benutzung von Fußgängerbereichen (Zeichen 242.1 StVO) für Handwerksbetriebe, Handelsvertreter und im sozialen Dienst Tätige im Rahmen einer Ausnahmegenehmigung für ihren Bezirk;</w:t>
      </w:r>
    </w:p>
    <w:p>
      <w:r>
        <w:t xml:space="preserve">2. für die Erteilung von Erlaubnissen</w:t>
      </w:r>
    </w:p>
    <w:p>
      <w:r>
        <w:t xml:space="preserve">a) für Veranstaltungen, die sich über nicht mehr als drei Regierungsbezirke erstrecken (§ 44 Abs. 3 Satz 3 StVO in Verbindung mit § 44 Abs. 3 Satz 1 Alternative 2 StVO), wobei das Landratsamt bei geringer Bedeutung einer Veranstaltung im Einzelfall die örtliche Straßenverkehrsbehörde für zuständig erklären kann, wenn diese dies beantragt,</w:t>
      </w:r>
    </w:p>
    <w:p>
      <w:r>
        <w:t xml:space="preserve">b) für die übermäßige Benutzung der Straße durch die Bundeswehr oder durch die Truppen der nichtdeutschen Vertragsstaaten des Nordatlantikpaktes sowie durch die Bundespolizei, die Polizei und den Katastrophenschutz (§ 44 Abs. 5 StVO);</w:t>
      </w:r>
    </w:p>
    <w:p>
      <w:r>
        <w:t xml:space="preserve">3. für den Abschluß von Vereinbarungen für den Militärverkehr auf örtlichen Militärstraßen (§ 44 Abs. 4 StVO); § 44a Abs. 2 StVO bleibt unberührt.</w:t>
      </w:r>
    </w:p>
    <w:p>
      <w:r>
        <w:t xml:space="preserve">(2) Örtlich zuständig ist</w:t>
      </w:r>
    </w:p>
    <w:p>
      <w:r>
        <w:t xml:space="preserve">1. für die Erteilung von Ausnahmen</w:t>
      </w:r>
    </w:p>
    <w:p>
      <w:r>
        <w:t xml:space="preserve">a) gemäß Abs. 1 Nr. 1 Buchst. a die Behörde, in deren Bezirk der Antragsteller seinen Wohnort hat,</w:t>
      </w:r>
    </w:p>
    <w:p>
      <w:r>
        <w:t xml:space="preserve">b) gemäß Abs. 1 Nr. 1 Buchst. b, c und f bis j die Behörde, in deren Bezirk von der Ausnahme Gebrauch gemacht werden soll,</w:t>
      </w:r>
    </w:p>
    <w:p>
      <w:r>
        <w:t xml:space="preserve">c) gemäß Abs 1 Nr. 1 Buchst. d die Behörde, in deren Bezirk die Grenzübergangsstelle liegt,</w:t>
      </w:r>
    </w:p>
    <w:p>
      <w:r>
        <w:t xml:space="preserve">d) gemäß Abs. 1 Nr. 1 Buchst. e die Behörde, in deren Bezirk die Veranstaltung beginnt;</w:t>
      </w:r>
    </w:p>
    <w:p>
      <w:r>
        <w:t xml:space="preserve">2. für die Erteilung von Erlaubnissen</w:t>
      </w:r>
    </w:p>
    <w:p>
      <w:r>
        <w:t xml:space="preserve">a) gemäß Abs. 1 Nr. 2 Buchst. a die Behörde, in deren Bezirk die Veranstaltung beginnt,</w:t>
      </w:r>
    </w:p>
    <w:p>
      <w:r>
        <w:t xml:space="preserve">b) gemäß Abs. 1 Nr. 2 Buchst. b die Behörde, in deren Bezirk der erlaubnispflichtige Verkehr beginnt (§ 47 Abs. 3 StVO);</w:t>
      </w:r>
    </w:p>
    <w:p>
      <w:r>
        <w:t xml:space="preserve">3. für den Abschluß von Vereinbarungen gemäß Abs. 1 Nr. 3 die Behörde, in deren Bezirk der Standort liegt.</w:t>
      </w:r>
    </w:p>
    <w:p>
      <w:r>
        <w:rPr>
          <w:color w:val="555555"/>
          <w:sz w:val="17"/>
        </w:rPr>
        <w:t xml:space="preserve">Zitiervorschlag: § 3 ZustVVerk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https://recht.nulegal.eu/gesetze/ZustVVerk/3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