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ZustVVerk (Bayern) — Zuständigkeit der Regierungen und der Kreisverwaltungsbehörden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Regierungen und die Kreisverwaltungsbehörden sind zuständig, Ausnahmen von den Vorschriften der §§ 3 bis 42 der Verordnung über den Betrieb von Kraftfahrunternehmen im Personenverkehr (BOKraft) zu genehmigen, soweit sie Genehmigungsbehörden für die jeweilige Verkehrsart sind.</w:t>
      </w:r>
    </w:p>
    <w:p>
      <w:r>
        <w:t xml:space="preserve">(2) Die Kreisverwaltungsbehörden sind zuständige Behörden im Sinn von § 41 Abs. 2 BOKraft.</w:t>
      </w:r>
    </w:p>
    <w:p>
      <w:r>
        <w:rPr>
          <w:color w:val="555555"/>
          <w:sz w:val="17"/>
        </w:rPr>
        <w:t xml:space="preserve">Zitiervorschlag: § 27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