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ZustVVerk (Bayern) — Zuständigkeit der Regierung von Oberbayern und der Regierung von Mittelfranken</w:t>
      </w:r>
    </w:p>
    <w:p>
      <w:r>
        <w:rPr>
          <w:color w:val="555555"/>
          <w:sz w:val="18"/>
        </w:rPr>
        <w:t xml:space="preserve">Verordnung über Zuständigkeiten im Verkehrswesen BayRS 9210-2-I/B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Regierung von Oberbayern ist für die Regierungsbezirke Oberbayern, Niederbayern und Schwaben, die Regierung von Mittelfranken für die Regierungsbezirke Oberpfalz, Oberfranken, Mittelfranken und Unterfranken</w:t>
      </w:r>
    </w:p>
    <w:p>
      <w:r>
        <w:t xml:space="preserve">1. Aufsichts- und Genehmigungsbehörde nach § 5 Abs. 2 Satz 1 AEG,</w:t>
      </w:r>
    </w:p>
    <w:p>
      <w:r>
        <w:t xml:space="preserve">2. Anhörungs-, Planfeststellungs- und Plangenehmigungsbehörde im Sinn des AEG,</w:t>
      </w:r>
    </w:p>
    <w:p>
      <w:r>
        <w:t xml:space="preserve">3. zuständige Landesbehörde im Sinn des AEG, der EBO und der ESBO und</w:t>
      </w:r>
    </w:p>
    <w:p>
      <w:r>
        <w:t xml:space="preserve">4. Eisenbahnaufsichtsbehörde nach Art. 9 BayESG</w:t>
      </w:r>
    </w:p>
    <w:p>
      <w:r>
        <w:t xml:space="preserve">soweit in dieser Verordnung nichts anderes bestimmt ist.</w:t>
      </w:r>
    </w:p>
    <w:p>
      <w:r>
        <w:t xml:space="preserve">(2) Örtlich zuständig ist die Regierung nach Abs. 1 in deren Bereich</w:t>
      </w:r>
    </w:p>
    <w:p>
      <w:r>
        <w:t xml:space="preserve">1. ein Eisenbahnverkehrsunternehmen seinen Sitz hat,</w:t>
      </w:r>
    </w:p>
    <w:p>
      <w:r>
        <w:t xml:space="preserve">2. eine Eisenbahninfrastruktur belegen ist oder betrieben werden soll.</w:t>
      </w:r>
    </w:p>
    <w:p>
      <w:r>
        <w:t xml:space="preserve">Wird in Fällen nach Satz 1 Nr. 2 der Zuständigkeitsbereich beider Regierungen berührt, so ist örtlich zuständig die Regierung, in deren Bereich der nach der Streckenlänge überwiegende Teil der Eisenbahninfrastruktur liegt. Die Regierungen können etwas anderes vereinbaren.</w:t>
      </w:r>
    </w:p>
    <w:p>
      <w:r>
        <w:t xml:space="preserve">(3) Anweisungen der Regierung nach Abs. 1 werden im Benehmen mit der obersten Verkehrsbehörde erlassen, wenn die wesentliche Beeinträchtigung gemeinwirtschaftlicher Leistungen im Sinn des § 15 AEG zu erwarten ist. Satz 1 gilt nicht bei Gefahr im Verzug.</w:t>
      </w:r>
    </w:p>
    <w:p>
      <w:r>
        <w:t xml:space="preserve">(4) Die oberste Verkehrsbehörde, die Regierung von Oberbayern und die Regierung von Mittelfranken unterrichten einander von Vorkommnissen, die für die Erfüllung der jeweiligen Aufgaben von Bedeutung sein können.</w:t>
      </w:r>
    </w:p>
    <w:p>
      <w:r>
        <w:rPr>
          <w:color w:val="555555"/>
          <w:sz w:val="17"/>
        </w:rPr>
        <w:t xml:space="preserve">Zitiervorschlag: § 23 ZustVVerk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https://recht.nulegal.eu/gesetze/ZustVVerk/23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