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ZustVVerk (Bayern) — Zuständigkeit der Augenoptiker-Innungen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Aufsicht über die Betriebe von Augenoptikern als amtlich anerkannte Sehteststellen (§ 67 Abs. 4 Satz 1 FeV) wird übertragen (§ 67 Abs. 4 Satz 5 FeV)</w:t>
      </w:r>
    </w:p>
    <w:p>
      <w:r>
        <w:t xml:space="preserve">1. auf den Landes-Innungsverband des Bayerischen Augenoptiker-Handwerks für die Augenoptikerbetriebe in den Regierungsbezirken Oberbayern, Niederbayern, Oberpfalz, Oberfranken und Schwaben,</w:t>
      </w:r>
    </w:p>
    <w:p>
      <w:r>
        <w:t xml:space="preserve">2. auf die Augenoptiker-Innung Mittel-Unterfranken für die Augenoptikerbetriebe in den Regierungsbezirken Mittelfranken und Unterfranken.</w:t>
      </w:r>
    </w:p>
    <w:p>
      <w:r>
        <w:rPr>
          <w:color w:val="555555"/>
          <w:sz w:val="17"/>
        </w:rPr>
        <w:t xml:space="preserve">Zitiervorschlag: § 12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