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ZustVV — Vordrucke</w:t>
      </w:r>
    </w:p>
    <w:p>
      <w:r>
        <w:rPr>
          <w:color w:val="555555"/>
          <w:sz w:val="18"/>
        </w:rPr>
        <w:t xml:space="preserve">Zustellungsvordruckverordnung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Für die Zustellung im gerichtlichen Verfahren werden eingeführt:</w:t>
      </w:r>
    </w:p>
    <w:p>
      <w:pPr>
        <w:ind w:left="420"/>
      </w:pPr>
      <w:r>
        <w:t xml:space="preserve">1. der in Anlage 1 bestimmte Vordruck für die Zustellung von Schriftstücken mit Zustellungsurkunde nach § 182 Abs. 1 und 2 der Zivilprozessordnung (Zustellungsurkunde),</w:t>
      </w:r>
    </w:p>
    <w:p>
      <w:pPr>
        <w:ind w:left="420"/>
      </w:pPr>
      <w:r>
        <w:t xml:space="preserve">2. der in Anlage 2 bestimmte Vordruck für den Briefumschlag nach § 176 Absatz 2 der Zivilprozessordnung (innerer Umschlag),</w:t>
      </w:r>
    </w:p>
    <w:p>
      <w:pPr>
        <w:ind w:left="420"/>
      </w:pPr>
      <w:r>
        <w:t xml:space="preserve">3. der in Anlage 3 bestimmte Vordruck für den Postzustellungsauftrag nach § 168 Abs. 1 der Zivilprozessordnung (äußerer Umschlag/Auftrag),</w:t>
      </w:r>
    </w:p>
    <w:p>
      <w:pPr>
        <w:ind w:left="420"/>
      </w:pPr>
      <w:r>
        <w:t xml:space="preserve">4. der in Anlage 4 bestimmte Vordruck für die schriftliche Mitteilung über die Zustellung durch Niederlegung nach § 181 Abs. 1 Satz 2 der Zivilprozessordnung (Benachrichtigung).</w:t>
      </w:r>
    </w:p>
    <w:p>
      <w:r>
        <w:rPr>
          <w:color w:val="555555"/>
          <w:sz w:val="17"/>
        </w:rPr>
        <w:t xml:space="preserve">Zitiervorschlag: § 1 ZustVV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