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ZustVSt (Bayern) — Finanzamtsaußenstellen</w:t>
      </w:r>
    </w:p>
    <w:p>
      <w:r>
        <w:rPr>
          <w:color w:val="555555"/>
          <w:sz w:val="18"/>
        </w:rPr>
        <w:t xml:space="preserve">Steuer-Zuständigkeitsverordnung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in Anlage 2 bezeichneten Finanzämter (Stammfinanzämter) bestehen Außenstellen an den in Anlage 2 Spalte 3 genannten Sitzen.</w:t>
      </w:r>
    </w:p>
    <w:p>
      <w:r>
        <w:t xml:space="preserve">(2) Die Außenstellen nehmen Teilaufgaben ihres jeweiligen Stammfinanzamts wahr.</w:t>
      </w:r>
    </w:p>
    <w:p>
      <w:r>
        <w:rPr>
          <w:color w:val="555555"/>
          <w:sz w:val="17"/>
        </w:rPr>
        <w:t xml:space="preserve">Zitiervorschlag: § 6 ZustVSt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https://recht.nulegal.eu/gesetze/ZustVSt/6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