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ZustVSt (Bayern) — Bezeichnung, Sitz und Amtsbezirk der Finanzämter</w:t>
      </w:r>
    </w:p>
    <w:p>
      <w:r>
        <w:rPr>
          <w:color w:val="555555"/>
          <w:sz w:val="18"/>
        </w:rPr>
        <w:t xml:space="preserve">Steuer-Zuständigkeitsverordnung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Bezeichnung, Sitz und Amtsbezirk der Finanzämter ergeben sich aus Anlage 1.</w:t>
      </w:r>
    </w:p>
    <w:p>
      <w:r>
        <w:t xml:space="preserve">(2) Die Finanzämter sind für ihren Amtsbezirk für die Verwaltung der Steuern und die ihnen sonst übertragenen Aufgaben zuständig.</w:t>
      </w:r>
    </w:p>
    <w:p>
      <w:r>
        <w:rPr>
          <w:color w:val="555555"/>
          <w:sz w:val="17"/>
        </w:rPr>
        <w:t xml:space="preserve">Zitiervorschlag: § 4 ZustVSt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https://recht.nulegal.eu/gesetze/ZustVSt/4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