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ZustVSchfw (Bayern)</w:t>
      </w:r>
    </w:p>
    <w:p>
      <w:r>
        <w:rPr>
          <w:color w:val="555555"/>
          <w:sz w:val="18"/>
        </w:rPr>
        <w:t xml:space="preserve">Schornsteinfegerzuständigkeitsverordnung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Auf Grund von Art. 55 des Gesetzes über das Landesstrafrecht und das Verordnungsrecht auf dem Gebiet der öffentlichen Sicherheit und Ordnung – Landesstraf- und Verordnungsgesetz – LStVG – (BayRS 2011-2-I), zuletzt geändert durch Gesetz vom 8. Dezember 2009 (GVBl S. 604), § 52 des Gesetzes über das Schornsteinfegerwesen (Schornsteinfegergesetz – SchfG) in der Fassung der Bekanntmachung vom 10. August 1998 (BGBl I S. 2071), zuletzt geändert durch Art. 17 des Gesetzes vom 3. April 2009 (BGBl I S. 700), in Verbindung mit § 2 Abs. 1 Nr. 4 der Verordnung über die Zuständigkeit zum Erlass von Rechtsverordnungen (Delegationsverordnung – DelV) vom 15. Juni 2004 (GVBl S. 239, BayRS 103-2-S), zuletzt geändert durch § 2 der Verordnung vom 9. November 2009 (GVBl S. 556), erlässt das Bayerische Staatsministerium des Innern folgende Verordnung:</w:t>
      </w:r>
    </w:p>
    <w:p>
      <w:r>
        <w:rPr>
          <w:color w:val="555555"/>
          <w:sz w:val="17"/>
        </w:rPr>
        <w:t xml:space="preserve">Zitiervorschlag: Eingangsformel ZustVSchfw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https://recht.nulegal.eu/gesetze/ZustVSchfw/eingangsformel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