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ZustVSchfw (Bayern) — Zuständigkeiten nach dem Schornsteinfeger-Handwerksgesetz</w:t>
      </w:r>
    </w:p>
    <w:p>
      <w:r>
        <w:rPr>
          <w:color w:val="555555"/>
          <w:sz w:val="18"/>
        </w:rPr>
        <w:t xml:space="preserve">Schornsteinfegerzuständigkeitsverordnung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Zuständige Behörden für Maßnahmen nach dem Schornsteinfeger-Handwerksgesetz (SchfHwG) sind die Kreisverwaltungsbehörden, soweit nachfolgend nichts anderes bestimmt ist.</w:t>
      </w:r>
    </w:p>
    <w:p>
      <w:r>
        <w:t xml:space="preserve">(2) Zuständige Behörden gemäß den §§ 7, 8 Abs. 1, §§ 9, 9a Abs. 2 und 3, § 10 Abs. 1, Abs. 2 Halbsatz 1 und Abs. 3, § 11b Abs. 1 bis 3 sowie § 12 Abs. 1 und 2 SchfHwG sind die Regierungen.</w:t>
      </w:r>
    </w:p>
    <w:p>
      <w:r>
        <w:t xml:space="preserve">(3) Liegt ein Bezirk im Bereich mehrerer Regierungen oder Kreisverwaltungsbehörden, so wird die zuständige Behörde durch die gemeinsame nächsthöhere Behörde bestimmt.</w:t>
      </w:r>
    </w:p>
    <w:p>
      <w:r>
        <w:t xml:space="preserve">(4) Zuständig für die Maßnahmen nach § 3 Abs. 2, § 10 Abs. 2 Halbsatz 2 und § 12 Abs. 4 SchfHwG sind die Handwerkskammern.</w:t>
      </w:r>
    </w:p>
    <w:p>
      <w:r>
        <w:rPr>
          <w:color w:val="555555"/>
          <w:sz w:val="17"/>
        </w:rPr>
        <w:t xml:space="preserve">Zitiervorschlag: § 1 ZustVSchfw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https://recht.nulegal.eu/gesetze/ZustVSchfw/1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