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ZustVOAgrar (Nordrhein-Westfalen)</w:t>
      </w:r>
    </w:p>
    <w:p>
      <w:r>
        <w:rPr>
          <w:color w:val="555555"/>
          <w:sz w:val="18"/>
        </w:rPr>
        <w:t xml:space="preserve">Zuständigkeitsverordnung Agrar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Die Ministerin für Umwelt, Landwirtschaft,</w:t>
      </w:r>
    </w:p>
    <w:p>
      <w:r>
        <w:t xml:space="preserve">Natur- und Verbraucherschutz</w:t>
      </w:r>
    </w:p>
    <w:p>
      <w:r>
        <w:rPr>
          <w:color w:val="555555"/>
          <w:sz w:val="17"/>
        </w:rPr>
        <w:t xml:space="preserve">Zitiervorschlag: Schlussformel ZustVOAgrar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https://recht.nulegal.eu/gesetze/ZustVOAgrar/schlussformel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ZustVOAgrar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