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ZustVOAgrar (Nordrhein-Westfalen) — Inkrafttreten, Außerkrafttreten</w:t>
      </w:r>
    </w:p>
    <w:p>
      <w:r>
        <w:rPr>
          <w:color w:val="555555"/>
          <w:sz w:val="18"/>
        </w:rPr>
        <w:t xml:space="preserve">Zuständigkeitsverordnung Agrar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am Tag nach der Verkündung in Kraft.</w:t>
      </w:r>
    </w:p>
    <w:p>
      <w:r>
        <w:t xml:space="preserve">(2) Gleichzeitig tritt die Verordnung zur Regelung von Zuständigkeiten und zur Übertragung von Ermächtigungen zum Erlass von Rechtsverordnungen für Bereiche der Agrarwirtschaft vom 11. November 2008 (GV. NRW. S. 732), die zuletzt durch Verordnung vom 21. Dezember 2010 (GV. NRW. S. 706) geändert worden ist, außer Kraft.</w:t>
      </w:r>
    </w:p>
    <w:p>
      <w:r>
        <w:rPr>
          <w:color w:val="555555"/>
          <w:sz w:val="17"/>
        </w:rPr>
        <w:t xml:space="preserve">Zitiervorschlag: § 8 ZustVOAgrar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https://recht.nulegal.eu/gesetze/ZustVOAgrar/8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