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ZustVOAgrar (Nordrhein-Westfalen) — Zuständigkeit bei Rechtsänderung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Tritt während eines laufenden Verwaltungsverfahrens eine Änderung der in der Verordnung in Bezug genommenen Rechtsvorschriften in Kraft, bleibt die ursprünglich zuständige Behörde zuständig.</w:t>
      </w:r>
    </w:p>
    <w:p>
      <w:r>
        <w:t xml:space="preserve">(2) Wird für eine Aufgabe die anzuwendende Rechtsvorschrift geändert, bleibt die bisher zuständige Behörde zuständig. Satz 1 gilt nicht, wenn die Aufgabe zugleich in ihrem Inhalt wesentlich geändert wird.</w:t>
      </w:r>
    </w:p>
    <w:p>
      <w:r>
        <w:rPr>
          <w:color w:val="555555"/>
          <w:sz w:val="17"/>
        </w:rPr>
        <w:t xml:space="preserve">Zitiervorschlag: § 6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