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ZustVOAgrar (Nordrhein-Westfalen) — Zuständigkeit der Kreisordnungsbehörde</w:t>
      </w:r>
    </w:p>
    <w:p>
      <w:r>
        <w:rPr>
          <w:color w:val="555555"/>
          <w:sz w:val="18"/>
        </w:rPr>
        <w:t xml:space="preserve">Zuständigkeitsverordnung Agrar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Kreisordnungsbehörde ist zuständige Behörde</w:t>
      </w:r>
    </w:p>
    <w:p>
      <w:r>
        <w:t xml:space="preserve">1. nach dem Milch- und Margarinegesetz, ausgenommen die Überwachung nach § 4 Absatz 2 Satz 3,</w:t>
      </w:r>
    </w:p>
    <w:p>
      <w:r>
        <w:t xml:space="preserve">2. nach der Butterverordnung, ausgenommen die Überwachung handelsklassenrechtlicher Vorschriften der gewerblichen Verarbeitungs- und Großhandelsstufe,</w:t>
      </w:r>
    </w:p>
    <w:p>
      <w:r>
        <w:t xml:space="preserve">3. nach der Käseverordnung, ausgenommen die Überwachung handelsklassenrechtlicher Vorschriften der gewerblichen Verarbeitungs- und Großhandelsstufe und</w:t>
      </w:r>
    </w:p>
    <w:p>
      <w:r>
        <w:t xml:space="preserve">4. nach § 5 Absatz 1 Satz 1 des Handelsklassengesetzes in Verbindung mit § 44 des Marktorganisationsgesetzes sowie für die Überwachung der Einhaltung von Anforderungen von Verordnungen zur Regelung von Vermarktungsnormen nach § 6a des Marktorganisationsgesetzes, jeweils für die Überwachung der Betriebe der Einzelhandelsstufe, ausgenommen die Überwachung der Verteilzentren,</w:t>
      </w:r>
    </w:p>
    <w:p>
      <w:r>
        <w:t xml:space="preserve">soweit in dieser Verordnung keine abweichende Regelung getroffen ist.</w:t>
      </w:r>
    </w:p>
    <w:p>
      <w:r>
        <w:t xml:space="preserve">(2) Die Zuständigkeit für die Verfolgung und Ahndung von Ordnungswidrigkeiten nach folgenden Vorschriften wird auf die Kreisordnungsbehörde übertragen:</w:t>
      </w:r>
    </w:p>
    <w:p>
      <w:r>
        <w:t xml:space="preserve">1. § 9 des Milch- und Margarinegesetzes und</w:t>
      </w:r>
    </w:p>
    <w:p>
      <w:r>
        <w:t xml:space="preserve">2. § 7 des Handelsklassengesetzes auch in Verbindung mit Rechtsverordnungen, die aufgrund des § 1 Absatz 3 Satz 1 Nummer 2 des Handelsklassengesetzes in der bis zum 22. Januar 2016 geltenden Fassung erlassen worden sind, in Verbindung mit § 44 des Marktorganisationsgesetzes und nach § 36 Absatz 1, Absatz 3 Nummer 1, 2 und 3 Buchstabe c des Marktorganisationsgesetzes, jeweils soweit nicht das Landesamt oder Bundesbehörden zuständig sind.</w:t>
      </w:r>
    </w:p>
    <w:p>
      <w:r>
        <w:rPr>
          <w:color w:val="555555"/>
          <w:sz w:val="17"/>
        </w:rPr>
        <w:t xml:space="preserve">Zitiervorschlag: § 3 ZustVOAgrar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https://recht.nulegal.eu/gesetze/ZustVOAgrar/3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