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ZustVO-AFö (Nordrhein-Westfalen) — Zuständigkeit des Ministeriums</w:t>
      </w:r>
    </w:p>
    <w:p>
      <w:r>
        <w:rPr>
          <w:color w:val="555555"/>
          <w:sz w:val="18"/>
        </w:rPr>
        <w:t xml:space="preserve">Zuständigkeitsverordnung Agrarförderung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für Landwirtschaft zuständige Ministerium ist zuständige Behörde</w:t>
      </w:r>
    </w:p>
    <w:p>
      <w:r>
        <w:t xml:space="preserve">a) nach Artikel 1 Absatz 1 der Durchführungsverordnung (EU) 2022/128 der Kommission vom 21. Dezember 2021 mit Durchführungsbestimmungen zur Verordnung (EU) 2021/2116 des Europäischen Parlaments und des Rates hinsichtlich der Zahlstellen und anderen Einrichtungen, der Finanzverwaltung, des Rechnungsabschlusses, der Kontrollen, der Sicherheiten und der Transparenz (ABl. L 20 vom 31.1.2022, S. 131) in der jeweils geltenden Fassung,</w:t>
      </w:r>
    </w:p>
    <w:p>
      <w:r>
        <w:t xml:space="preserve">b) nach § 8 des GAP-Konditionalitäten-Gesetzes vom 16. Juli 2021 (BGBl. I S. 2996; 2022 I S. 2262) in der jeweils geltenden Fassung,</w:t>
      </w:r>
    </w:p>
    <w:p>
      <w:r>
        <w:t xml:space="preserve">c) nach § 48 Absatz 2 der GAPInVeKoS-Verordnung vom 19. Dezember 2022 (BAnz AT 19.12.2022 V1) in der jeweils geltenden Fassung sowie</w:t>
      </w:r>
    </w:p>
    <w:p>
      <w:r>
        <w:t xml:space="preserve">d) nach § 3 Absatz 3 der GAP-Direktzahlungen-Verordnung vom 24. Januar 2022 (BGBl. I S. 139; 2022 I S. 2287) in der jeweils geltenden Fassung.</w:t>
      </w:r>
    </w:p>
    <w:p>
      <w:r>
        <w:rPr>
          <w:color w:val="555555"/>
          <w:sz w:val="17"/>
        </w:rPr>
        <w:t xml:space="preserve">Zitiervorschlag: § 1 ZustVO-AFö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https://recht.nulegal.eu/gesetze/ZustVO-AF%C3%B6/1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