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ZustVO TierAM (Nordrhein-Westfalen) — Ordnungswidrigkeiten</w:t>
      </w:r>
    </w:p>
    <w:p>
      <w:r>
        <w:rPr>
          <w:color w:val="555555"/>
          <w:sz w:val="18"/>
        </w:rPr>
        <w:t xml:space="preserve">Zuständigkeitsverordnung Tierarzneimittel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Rahmen der Zuständigkeit nach § 1 wird den Kreisordnungsbehörden die Zuständigkeit für die Verfolgung und Ahndung von Ordnungswidrigkeiten nach</w:t>
      </w:r>
    </w:p>
    <w:p>
      <w:r>
        <w:t xml:space="preserve">1. § 89 des Tierarzneimittelgesetzes,</w:t>
      </w:r>
    </w:p>
    <w:p>
      <w:r>
        <w:t xml:space="preserve">2. § 32 des Betäubungsmittelgesetzes und</w:t>
      </w:r>
    </w:p>
    <w:p>
      <w:r>
        <w:t xml:space="preserve">3. § 15 des Heilmittelwerbegesetzes</w:t>
      </w:r>
    </w:p>
    <w:p>
      <w:r>
        <w:t xml:space="preserve">und den aufgrund dieser Gesetze erlassenen Rechtsverordnungen übertragen.</w:t>
      </w:r>
    </w:p>
    <w:p>
      <w:r>
        <w:t xml:space="preserve">(2) Im Rahmen der Zuständigkeit nach § 2, ausgenommen Satz 1 Nummer 1 Buchstabe a, wird dem Landesamt die Zuständigkeit für die Verfolgung und Ahndung von Ordnungswidrigkeiten nach</w:t>
      </w:r>
    </w:p>
    <w:p>
      <w:r>
        <w:t xml:space="preserve">1. § 89 des Tierarzneimittelgesetzes,</w:t>
      </w:r>
    </w:p>
    <w:p>
      <w:r>
        <w:t xml:space="preserve">2. § 32 des Betäubungsmittelgesetzes und</w:t>
      </w:r>
    </w:p>
    <w:p>
      <w:r>
        <w:t xml:space="preserve">3. § 15 des Heilmittelwerbegesetzes</w:t>
      </w:r>
    </w:p>
    <w:p>
      <w:r>
        <w:t xml:space="preserve">und der auf Grund dieser Gesetze erlassenen Rechtsverordnungen übertragen.</w:t>
      </w:r>
    </w:p>
    <w:p>
      <w:r>
        <w:rPr>
          <w:color w:val="555555"/>
          <w:sz w:val="17"/>
        </w:rPr>
        <w:t xml:space="preserve">Zitiervorschlag: § 3 ZustVO TierAM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https://recht.nulegal.eu/gesetze/ZustVO%20TierAM/3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