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TierAM (Nordrhein-Westfalen) — Zuständigkeiten des Landesamtes für Verbraucherschutz und Ernährung</w:t>
      </w:r>
    </w:p>
    <w:p>
      <w:r>
        <w:rPr>
          <w:color w:val="555555"/>
          <w:sz w:val="18"/>
        </w:rPr>
        <w:t xml:space="preserve">Zuständigkeitsverordnung Tierarzneimittel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Verbraucherschutz und Ernährung (Landesamt), ist zuständige Behörde</w:t>
      </w:r>
    </w:p>
    <w:p>
      <w:r>
        <w:t xml:space="preserve">1. im Sinne des Tierarzneimittelgesetzes für</w:t>
      </w:r>
    </w:p>
    <w:p>
      <w:r>
        <w:t xml:space="preserve">a) die Entgegennahme von schriftlichen oder elektronischen Mitteilungen über Tierhaltungen und Arzneimittelverwendung nach den §§ 55 und 56,</w:t>
      </w:r>
    </w:p>
    <w:p>
      <w:r>
        <w:t xml:space="preserve">b) die Übermittlung dieser Daten an die gemeinsame Stelle nach § 57 Absatz 5,</w:t>
      </w:r>
    </w:p>
    <w:p>
      <w:r>
        <w:t xml:space="preserve">c) die Überwachung nach § 77 von Stoffen, die als Tierarzneimittel verwendet werden können,</w:t>
      </w:r>
    </w:p>
    <w:p>
      <w:r>
        <w:t xml:space="preserve">d) die Entscheidung über die Erlaubnis nach § 14 Absatz 1 und § 28 Absatz 1,</w:t>
      </w:r>
    </w:p>
    <w:p>
      <w:r>
        <w:t xml:space="preserve">e) die Entgegennahme des Nachweises nach § 17 Absatz 1,</w:t>
      </w:r>
    </w:p>
    <w:p>
      <w:r>
        <w:t xml:space="preserve">f) die Entscheidung über die Anerkennung zentraler Beschaffungsstellen für Tierarzneimittel nach § 45 Absatz 1 Nummer 4 in Verbindung mit Absatz 3,</w:t>
      </w:r>
    </w:p>
    <w:p>
      <w:r>
        <w:t xml:space="preserve">g) die Entgegennahme von Anzeigen gemäß § 79 Absatz 1, 6 und 7 im Rahmen der Zuständigkeit gemäß Buchstabe m,</w:t>
      </w:r>
    </w:p>
    <w:p>
      <w:r>
        <w:t xml:space="preserve">h) das Verlangen der Vorlage von Nachweisen nach § 46 Absatz 2 Satz 4 und nach § 48 Absatz 4 Satz 2,</w:t>
      </w:r>
    </w:p>
    <w:p>
      <w:r>
        <w:t xml:space="preserve">i) die Entscheidung über die Erlaubnis zum Großhandel mit Tierarzneimitteln nach § 18 Absatz 1 und § 29 Absatz 2,</w:t>
      </w:r>
    </w:p>
    <w:p>
      <w:r>
        <w:t xml:space="preserve">j) das Erstellen von Anträgen nach § 9 Absatz 8 und § 22 Absatz 6,</w:t>
      </w:r>
    </w:p>
    <w:p>
      <w:r>
        <w:t xml:space="preserve">k) die Entgegennahme von Informationen nach § 10 Absatz 10,</w:t>
      </w:r>
    </w:p>
    <w:p>
      <w:r>
        <w:t xml:space="preserve">l) die Registrierung nach § 16 Absatz 1 und</w:t>
      </w:r>
    </w:p>
    <w:p>
      <w:r>
        <w:t xml:space="preserve">m) die Überwachung nach den §§ 72 bis 76 über</w:t>
      </w:r>
    </w:p>
    <w:p>
      <w:r>
        <w:t xml:space="preserve">aa) Betriebsstätten mit Herstellungs- oder Großhandelsvertriebserlaubnis,</w:t>
      </w:r>
    </w:p>
    <w:p>
      <w:r>
        <w:t xml:space="preserve">bb) Betriebe, Einrichtungen oder Personen im Sinne der § 14 Absatz 1 und § 28 Absatz 1 sowie § 18 Absatz 1 und § 29 Absatz 2, auch wenn eine Erlaubnis nicht erteilt ist,</w:t>
      </w:r>
    </w:p>
    <w:p>
      <w:r>
        <w:t xml:space="preserve">cc) Großhändler und Hersteller von Heimtierarzneimitteln, welche nach Artikel 5 Absatz 6 der Verordnung (EU) 2019/6 von der Zulassungspflicht ausgenommen sind,</w:t>
      </w:r>
    </w:p>
    <w:p>
      <w:r>
        <w:t xml:space="preserve">dd) Zulassungsinhaber von Tierarzneimitteln,</w:t>
      </w:r>
    </w:p>
    <w:p>
      <w:r>
        <w:t xml:space="preserve">ee) Betriebe, Einrichtungen oder Personen, die zulassungspflichtige Tierarzneimittel oder solche im Sinne des § 4 Absatz 1 unter ihrem Namen bereitstellen, mit Ausnahme von Tierarzneimitteln, die im Einzelhandel an die Öffentlichkeit abgegeben werden,</w:t>
      </w:r>
    </w:p>
    <w:p>
      <w:r>
        <w:t xml:space="preserve">ff) Importeure, Hersteller und Händler von Wirkstoffen, die als Ausgangsstoffe für Tierarzneimittel verwendet werden und</w:t>
      </w:r>
    </w:p>
    <w:p>
      <w:r>
        <w:t xml:space="preserve">gg) zentrale Beschaffungsstellen für Tierarzneimittel,</w:t>
      </w:r>
    </w:p>
    <w:p>
      <w:r>
        <w:t xml:space="preserve">2. im Sinne des Heilmittelwerbegesetzes für die in Nummer 1 Buchstabe m genannten Personen und Einrichtungen sowie Unternehmen mit Sitz außerhalb des Geltungsbereichs dieses Gesetzes,</w:t>
      </w:r>
    </w:p>
    <w:p>
      <w:r>
        <w:t xml:space="preserve">3. im Sinne des Betäubungsmittelgesetzes für die Aufgaben nach den §§ 19 und 22, soweit es sich um den unter Nummer 1 Buchstabe m genannten Adressatenkreis handelt und</w:t>
      </w:r>
    </w:p>
    <w:p>
      <w:r>
        <w:t xml:space="preserve">4. für die Entscheidung über die Erteilung der Zertifikate nach Artikel 98 der Verordnung (EU) 2019/6.</w:t>
      </w:r>
    </w:p>
    <w:p>
      <w:r>
        <w:t xml:space="preserve">Die Überwachung gemäß Satz 1 Buchstabe m erstreckt sich auch auf die Bestellung privater Sachverständiger nach § 73 Absatz 4 des Tierarzneimittelgesetzes.</w:t>
      </w:r>
    </w:p>
    <w:p>
      <w:r>
        <w:rPr>
          <w:color w:val="555555"/>
          <w:sz w:val="17"/>
        </w:rPr>
        <w:t xml:space="preserve">Zitiervorschlag: § 2 ZustVO TierAM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https://recht.nulegal.eu/gesetze/ZustVO%20TierAM/2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