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ZustVO TierAM (Nordrhein-Westfalen) — Zuständigkeiten der Kreisordnungsbehörden</w:t>
      </w:r>
    </w:p>
    <w:p>
      <w:r>
        <w:rPr>
          <w:color w:val="555555"/>
          <w:sz w:val="18"/>
        </w:rPr>
        <w:t xml:space="preserve">Zuständigkeitsverordnung Tierarzneimittel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Kreisordnungsbehörden sind zuständige Behörden im Sinne</w:t>
      </w:r>
    </w:p>
    <w:p>
      <w:r>
        <w:t xml:space="preserve">1. der Verordnung (EU) 2019/6 des Europäischen Parlaments und des Rates vom 11. Dezember 2018 über Tierarzneimittel und zur Aufhebung der Richtlinie 2001/82/EG (ABl. L 4 vom 7.1.2019, S. 43; L 163 vom 20.6.2019, S. 112; L 326 vom 8.10.2020, S. 15; L 241 vom 8.7.2021, S. 17) und der aufgrund dieser Verordnung erlassenen Rechtsakte jeweils in der jeweils geltenden Fassung,</w:t>
      </w:r>
    </w:p>
    <w:p>
      <w:r>
        <w:t xml:space="preserve">2. des Tierarzneimittelgesetzes vom 27. September 2021 (BGBl. I S. 4530) und der aufgrund dieses Gesetzes erlassenen Rechtsverordnungen jeweils in der jeweils geltenden Fassung,</w:t>
      </w:r>
    </w:p>
    <w:p>
      <w:r>
        <w:t xml:space="preserve">3. des Heilmittelwerbegesetzes in der Fassung der Bekanntmachung vom 19. Oktober 1994 (BGBl. I S. 3068) in der jeweils geltenden Fassung und</w:t>
      </w:r>
    </w:p>
    <w:p>
      <w:r>
        <w:t xml:space="preserve">4. des Betäubungsmittelgesetzes in der Fassung der Bekanntmachung vom 1. März 1994 (BGBl. I S. 358) und der aufgrund dieses Gesetzes erlassenen Rechtsverordnungen jeweils in der jeweils geltenden Fassung,</w:t>
      </w:r>
    </w:p>
    <w:p>
      <w:r>
        <w:t xml:space="preserve">soweit in dieser Verordnung keine andere Zuständigkeitsregelung getroffen ist.</w:t>
      </w:r>
    </w:p>
    <w:p>
      <w:r>
        <w:rPr>
          <w:color w:val="555555"/>
          <w:sz w:val="17"/>
        </w:rPr>
        <w:t xml:space="preserve">Zitiervorschlag: § 1 ZustVO TierAM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https://recht.nulegal.eu/gesetze/ZustVO%20TierAM/1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