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ZustVO ThUG (Nordrhein-Westfalen)</w:t>
      </w:r>
    </w:p>
    <w:p>
      <w:r>
        <w:rPr>
          <w:color w:val="555555"/>
          <w:sz w:val="18"/>
        </w:rPr>
        <w:t xml:space="preserve">Zuständigkeitsverordnung Therapieunterbringungsgesetz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Januar 2011</w:t>
      </w:r>
    </w:p>
    <w:p>
      <w:r>
        <w:t xml:space="preserve">Auf Grund der §§ 5 Absatz 1 Satz 2 und Absatz 3 Satz 1, 6 Absatz 3 Nummer 1, 8 Absatz 3 bis 5, 11 Absatz 1, 13 Satz 2, 16 Absatz 1 des Gesetzes zur Therapierung und Unterbringung psychisch gestörter Gewalttäter (ThUG) vom 22. Dezember 2010 (BGBl. I S. 2305) in Verbindung mit § 5 Absatz 4 Landesorganisationsgesetz vom 10. Juli 1962(GV. NRW. S.421) in der jeweils geltenden Fassung wird verordnet:</w:t>
      </w:r>
    </w:p>
    <w:p>
      <w:r>
        <w:rPr>
          <w:color w:val="555555"/>
          <w:sz w:val="17"/>
        </w:rPr>
        <w:t xml:space="preserve">Zitiervorschlag: Volltext ZustVO ThUG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https://recht.nulegal.eu/gesetze/ZustVO%20ThUG/volltext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ZustVO ThUG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