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ZustVO ThUG (Nordrhein-Westfalen)</w:t>
      </w:r>
    </w:p>
    <w:p>
      <w:r>
        <w:rPr>
          <w:color w:val="555555"/>
          <w:sz w:val="18"/>
        </w:rPr>
        <w:t xml:space="preserve">Zuständigkeitsverordnung Therapieunterbringungsgesetz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Untere Verwaltungsbehörde im Sinne der §§ 5 Absatz 1 Satz 2 und Absatz 3 Satz 1, 6 Absatz 3 Nummer 1, 13 Satz 2, 16 Absatz 1 ThUG sind die Kreise und kreisfreien Städte sowie die Städteregion Aachen.</w:t>
      </w:r>
    </w:p>
    <w:p>
      <w:r>
        <w:rPr>
          <w:color w:val="555555"/>
          <w:sz w:val="17"/>
        </w:rPr>
        <w:t xml:space="preserve">Zitiervorschlag: § 1 ZustVO ThUG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https://recht.nulegal.eu/gesetze/ZustVO%20ThUG/1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ZustVO ThUG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