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ZustVO RennwLottG (Nordrhein-Westfalen) — Zuständigkeiten Rennwett- und Lotteriegesetz-Durchführungsverordnung</w:t>
      </w:r>
    </w:p>
    <w:p>
      <w:r>
        <w:rPr>
          <w:color w:val="555555"/>
          <w:sz w:val="18"/>
        </w:rPr>
        <w:t xml:space="preserve">Zuständigkeitsverordnung Rennwetten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im Sinne der Rennwett- und Lotteriegesetz-Durchführungsverordnung in der im Bundesgesetzblatt Teil III, Gliederungsnummer 611-14-1, veröffentlichten bereinigten Fassung, in der jeweils geltenden Fassung, ist</w:t>
      </w:r>
    </w:p>
    <w:p>
      <w:r>
        <w:t xml:space="preserve">1. für den Erlass von Bestimmungen über die Auferlegung von Beschränkungen nach § 5 Absatz 1 Satz 3 der Rennwett- und Lotteriegesetz-Durchführungsverordnung das für Inneres zuständige Ministerium und</w:t>
      </w:r>
    </w:p>
    <w:p>
      <w:r>
        <w:t xml:space="preserve">2.</w:t>
      </w:r>
    </w:p>
    <w:p>
      <w:r>
        <w:t xml:space="preserve">a) für die Prüfungsbefugnis nach § 2 Absatz 4 Satz 1 der Rennwett- und Lotteriegesetz-Durchführungsverordnung,</w:t>
      </w:r>
    </w:p>
    <w:p>
      <w:r>
        <w:t xml:space="preserve">b) für die Entscheidung im Streitfall nach § 2 Absatz 6 Satz 2 der Rennwett- und Lotteriegesetz-Durchführungsverordnung,</w:t>
      </w:r>
    </w:p>
    <w:p>
      <w:r>
        <w:t xml:space="preserve">c) für die Bestimmung der Art und Höhe der Sicherheit nach § 3 Absatz 4 Satz 1der Rennwett- und Lotteriegesetz-Durchführungsverordnung,</w:t>
      </w:r>
    </w:p>
    <w:p>
      <w:r>
        <w:t xml:space="preserve">d) für die näheren Bestimmungen für den Betrieb der Wettannahmestellen nach § 4 Satz 3 Rennwett- und Lotteriegesetz-Durchführungsverordnung,</w:t>
      </w:r>
    </w:p>
    <w:p>
      <w:r>
        <w:t xml:space="preserve">e) für die Erteilung der Erlaubnis nach § 5 Absatz 2 Satz 2 der Rennwett- und Lotteriegesetz-Durchführungsverordnung und</w:t>
      </w:r>
    </w:p>
    <w:p>
      <w:r>
        <w:t xml:space="preserve">f) für die öffentliche Bekanntmachung sowie die Unterrichtung nach § 6 der Rennwett- und Lotteriegesetz-Durchführungsverordnung</w:t>
      </w:r>
    </w:p>
    <w:p>
      <w:r>
        <w:t xml:space="preserve">die jeweilige Bezirksregierung.</w:t>
      </w:r>
    </w:p>
    <w:p>
      <w:r>
        <w:t xml:space="preserve">(2) Oberste Fachaufsichtsbehörde ist das für Inneres zuständige Ministerium.</w:t>
      </w:r>
    </w:p>
    <w:p>
      <w:r>
        <w:rPr>
          <w:color w:val="555555"/>
          <w:sz w:val="17"/>
        </w:rPr>
        <w:t xml:space="preserve">Zitiervorschlag: § 2 ZustVO RennwLottG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https://recht.nulegal.eu/gesetze/ZustVO%20RennwLottG/2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