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ZustVO MWEIMH (Nordrhein-Westfalen) — Disziplinarbefugnisse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sich die Eigenschaft als dienstvorgesetzte Stelle nicht bereits aus § 17 Absatz 5 Satz 1 oder Satz 3 des Landesdisziplinargesetzes vom 16. November 2004 (GV. NRW. S. 624), zuletzt geändert durch Artikel 3 des Gesetzes vom 20. November 2018 (GV. NRW. S. 592) ergibt, werden für die Beamtinnen und Beamten im Zuständigkeitsbereich des Ministeriums die Leitungen der in § 1 Absatz 1 genannten Stellen, bei der die Beamtinnen oder Beamten beschäftigt sind, zu dienstvorgesetzten Stellen bestimmt.</w:t>
      </w:r>
    </w:p>
    <w:p>
      <w:r>
        <w:t xml:space="preserve">(2) Die Disziplinarbefugnis für Ruhestandsbeamtinnen und Ruhestandsbeamte wird auf die letzte vor dem Eintritt in den Ruhestand zuständige dienstvorgesetzte Stelle übertragen.</w:t>
      </w:r>
    </w:p>
    <w:p>
      <w:r>
        <w:t xml:space="preserve">(3) Soweit sich die Befugnis zur Festsetzung der Kürzung der Dienstbezüge sowie zur Erhebung der Disziplinarklage nicht bereits aus § 32 Absatz 2 Satz 1 Nummer 2, Absatz 3 oder Absatz 4 des Landesdisziplinargesetzes ergibt, wird diese gemäß § 32 Absatz 2 Satz 2 des Landesdisziplinargesetzes auf die dienstvorgesetzte Stelle übertragen.</w:t>
      </w:r>
    </w:p>
    <w:p>
      <w:r>
        <w:t xml:space="preserve">(4) Die Befugnisse zur Entscheidung über die Zahlung und Entziehung des Unterhaltsbeitrags werden auf die dienstvorgesetzte Stelle übertragen.</w:t>
      </w:r>
    </w:p>
    <w:p>
      <w:r>
        <w:t xml:space="preserve">(5) Die gerichtliche Vertretung des Dienstherrn bei Klagen, die ihren Ursprung im Landesdisziplinargesetz haben, richtet sich nach § 6 Absatz 1.</w:t>
      </w:r>
    </w:p>
    <w:p>
      <w:r>
        <w:t xml:space="preserve">(6) § 1 Absatz 1 Satz 2 gilt entsprechend.</w:t>
      </w:r>
    </w:p>
    <w:p>
      <w:r>
        <w:rPr>
          <w:color w:val="555555"/>
          <w:sz w:val="17"/>
        </w:rPr>
        <w:t xml:space="preserve">Zitiervorschlag: § 7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