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ZustVO MWEIMH (Nordrhein-Westfalen) — Klagen aus dem Beamtenverhältnis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Befugnis, gemäß § 126 Absatz 3 Nummer 2 des Beamtenrechtsrahmengesetzes, § 54 Absatz 3 des Beamtenstatusgesetzes über den Widerspruch zu entscheiden, wird auf die in § 1 genannten Stellen übertragen, soweit sie den mit dem Widerspruch angefochtenen Verwaltungsakt erlassen oder die Handlung vorgenommen haben, gegen die sich der Widerspruch richtet.</w:t>
      </w:r>
    </w:p>
    <w:p>
      <w:r>
        <w:t xml:space="preserve">Entsprechendes gilt für die Befugnis, das Land bei Klagen aus dem Beamtenverhältnis sowie in Verfahren gemäß §§ 80, 80 a und 123 der Verwaltungsgerichtsordnung in der Fassung der Bekanntmachung vom 19. März 1991 (BGBl. I S. 686), die zuletzt durch Artikel 20 des Gesetzes vom 7. Juli 2021 (BGBl. I S. 2363) geändert worden ist, zu vertreten. § 1 Absatz 1 Satz 2 gilt entsprechend.</w:t>
      </w:r>
    </w:p>
    <w:p>
      <w:r>
        <w:t xml:space="preserve">(2) In anderen als den in Absatz 1 genannten Fällen entscheidet das Ministerium. Im Übrigen kann es im Einzelfall die in Absatz 1 genannten Zuständigkeiten an sich ziehen.</w:t>
      </w:r>
    </w:p>
    <w:p>
      <w:r>
        <w:rPr>
          <w:color w:val="555555"/>
          <w:sz w:val="17"/>
        </w:rPr>
        <w:t xml:space="preserve">Zitiervorschlag: § 6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