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ZustVO MWEIMH (Nordrhein-Westfalen) — Feststellung der Laufbahnbefähigung</w:t>
      </w:r>
    </w:p>
    <w:p>
      <w:r>
        <w:rPr>
          <w:color w:val="555555"/>
          <w:sz w:val="18"/>
        </w:rPr>
        <w:t xml:space="preserve">Beamten- und Disziplinarzuständigkeitsverordnung MWEIMH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eine Beamtin oder ein Beamter die Laufbahnbefähigung nach dem 1. April 2009 nicht in Nordrhein-Westfalen erworben hat, erfolgt die nach § 10 Absatz 3 des Landesbeamtengesetzes vom 14. Juni 2016 (GV. NRW. S. 310, ber. S. 642), das zuletzt durch Artikel 7 des Gesetzes vom 17. Mai 2018 (GV. NRW. S. 244) geändert worden ist, im Einzelfall erforderliche Feststellung durch die Einstellungsbehörde mit Zustimmung des Ministeriums.</w:t>
      </w:r>
    </w:p>
    <w:p>
      <w:r>
        <w:rPr>
          <w:color w:val="555555"/>
          <w:sz w:val="17"/>
        </w:rPr>
        <w:t xml:space="preserve">Zitiervorschlag: § 4 ZustVO MWEIMH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https://recht.nulegal.eu/gesetze/ZustVO%20MWEIMH/4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