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MWEIMH (Nordrhein-Westfalen) — Ernennung, Entlassung, Versetzung in den Ruhestand</w:t>
      </w:r>
    </w:p>
    <w:p>
      <w:r>
        <w:rPr>
          <w:color w:val="555555"/>
          <w:sz w:val="18"/>
        </w:rPr>
        <w:t xml:space="preserve">Beamten- und Disziplinarzuständigkeitsverordnung MWEIMH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Befugnis zur Ernennung, Entlassung und Versetzung in den Ruhestand der Beamtinnen und Beamten, denen ein Amt der Besoldungsgruppe A 1 bis A 15 verliehen ist oder wird und für die entsprechenden Beamtinnen und Beamten ohne Amt, wird auf die dienstvorgesetztenStellen gemäß § 1 Absatz 1 übertragen.</w:t>
      </w:r>
    </w:p>
    <w:p>
      <w:r>
        <w:t xml:space="preserve">Dies gilt nicht für Entscheidungen, die die Inhaberinnen und Inhaber folgender Funktionsstellen betreffen:</w:t>
      </w:r>
    </w:p>
    <w:p>
      <w:r>
        <w:t xml:space="preserve">1. Hauptdezernentin oder Hauptdezernent bei einer Bezirksregierung;</w:t>
      </w:r>
    </w:p>
    <w:p>
      <w:r>
        <w:t xml:space="preserve">2. Geschäftsbereichsleitungen des Geologischen Dienstes NRW;</w:t>
      </w:r>
    </w:p>
    <w:p>
      <w:r>
        <w:t xml:space="preserve">3. Abteilungsleitungen des Landesbetriebes Materialprüfungsamt NRW;</w:t>
      </w:r>
    </w:p>
    <w:p>
      <w:r>
        <w:t xml:space="preserve">4. Geschäftsbereichsleitungen des Landesbetriebes Mess- und Eichwesen NRW;</w:t>
      </w:r>
    </w:p>
    <w:p>
      <w:r>
        <w:t xml:space="preserve">5. die Geschäftsbereichsleitungen des Landesbetriebes Information und Technik Nordrheinwestfalen.</w:t>
      </w:r>
    </w:p>
    <w:p>
      <w:r>
        <w:rPr>
          <w:color w:val="555555"/>
          <w:sz w:val="17"/>
        </w:rPr>
        <w:t xml:space="preserve">Zitiervorschlag: § 2 ZustVO MWEIMH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https://recht.nulegal.eu/gesetze/ZustVO%20MWEIMH/2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