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ZustVO JM (Nordrhein-Westfalen)</w:t>
      </w:r>
    </w:p>
    <w:p>
      <w:r>
        <w:rPr>
          <w:color w:val="555555"/>
          <w:sz w:val="18"/>
        </w:rPr>
        <w:t xml:space="preserve">Beamten- und Disziplinarzuständigkeitsverordnung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Dezember 2007</w:t>
      </w:r>
    </w:p>
    <w:p>
      <w:r>
        <w:t xml:space="preserve">Aufgrund</w:t>
      </w:r>
    </w:p>
    <w:p>
      <w:r>
        <w:t xml:space="preserve">- § 3 Abs. 3 und § 180 Satz 2 des Beamtengesetzes für das Land Nordrhein-Westfalen (Landesbeamtengesetz - LBG) in der Fassung der Bekanntmachung vom 1. Mai 1981 (GV. NRW. S. 234), zuletzt geändert durch Artikel 3 des Gesetzes vom 9. Oktober 2007 (GV. NRW. S. 393), in Verbindung mit § 4 Abs. 1 Satz 1 des Richtergesetzes für das Land Nordrhein-Westfalen (Landesrichtergesetz - LRiG) vom 29. März 1966 (GV. NRW. S. 217), zuletzt geändert durch Artikel XIV des Gesetzes vom 5. April 2005 (GV. NRW. S 408),</w:t>
      </w:r>
    </w:p>
    <w:p>
      <w:r>
        <w:t xml:space="preserve">- § 126 Abs. 3 Nr. 2 Satz 2 des Beamtenrechtsrahmengesetzes (BRRG) in der Fassung der Bekanntmachung vom 31. März 1999 (BGBl. I S. 654), zuletzt geändert durch Artikel 2 Abs. 1 des Gesetzes vom 5. Dezember 2006 (BGBl. I S. 2748), in Verbindung mit § 71 Abs. 3 des Deutschen Richtergesetzes (DRiG) in der Fassung der Bekanntmachung vom 19. April 1972 (BGBl. I S. 713), zuletzt geändert durch Artikel 4 des Gesetzes vom 22. Dezember 2006 (BGBl. I S. 3416),</w:t>
      </w:r>
    </w:p>
    <w:p>
      <w:r>
        <w:t xml:space="preserve">- § 3 Abs. 1 der Verordnung über die Ernennung, Entlassung und Zurruhesetzung der Beamten und Richter des Landes Nordrhein-Westfalen vom 27. Juni 1978 (GV. NRW. S. 286), zuletzt geändert durch Verordnung vom 9. September 2003 (GV. NRW. S. 570),</w:t>
      </w:r>
    </w:p>
    <w:p>
      <w:r>
        <w:t xml:space="preserve">- § 9 Abs. 2 und des § 30 Abs. 2 des Sozialgerichtsgesetzes in der Fassung der Bekanntmachung vom 23. September 1975 (BGBl. I S. 2535), zuletzt geändert durch Artikel 9 des Gesetzes vom 20. April 2007 (BGBl. I S. 554),</w:t>
      </w:r>
    </w:p>
    <w:p>
      <w:r>
        <w:t xml:space="preserve">- § 15 Abs. 2 und des § 34 Abs. 2 des Arbeitsgerichtsgesetzes in der Fassung der Bekanntmachung vom 2. Juli 1979 (BGBl. I S. 853), zuletzt geändert durch Artikel 8 des Gesetzes vom 20. April 2007 (BGBl. I S. 554),</w:t>
      </w:r>
    </w:p>
    <w:p>
      <w:r>
        <w:t xml:space="preserve">- § 1 der Verordnung zur Übertragung von Ermächtigungen im Bereich der Arbeitsgerichtsbarkeit vom 9. Januar 2001 (GV. NRW. S. 36),</w:t>
      </w:r>
    </w:p>
    <w:p>
      <w:r>
        <w:t xml:space="preserve">- § 224 der Bundesrechtsanwaltsordnung vom 1. August 1959 (BGBl. I S. 565), zuletzt geändert durch Artikel 1 des Gesetzes vom 26. März 2007 (BGBl. I S. 358),</w:t>
      </w:r>
    </w:p>
    <w:p>
      <w:r>
        <w:t xml:space="preserve">- § 13 Satz 1 der Verordnung zur einheitlichen Regelung der Gerichtsverfassung vom 20. März 1935 (RGBl. I S. 403)</w:t>
      </w:r>
    </w:p>
    <w:p>
      <w:r>
        <w:t xml:space="preserve">wird für den Geschäftsbereich des Justizministeriums verordnet:</w:t>
      </w:r>
    </w:p>
    <w:p>
      <w:r>
        <w:rPr>
          <w:color w:val="555555"/>
          <w:sz w:val="17"/>
        </w:rPr>
        <w:t xml:space="preserve">Zitiervorschlag: Volltext ZustVO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https://recht.nulegal.eu/gesetze/ZustVO%20JM/volltext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