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ZustVO HB (Nordrhein-Westfalen)</w:t>
      </w:r>
    </w:p>
    <w:p>
      <w:r>
        <w:rPr>
          <w:color w:val="555555"/>
          <w:sz w:val="18"/>
        </w:rPr>
        <w:t xml:space="preserve">Zuständigkeitsverordnung Heilberufe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Pflegekammer Nordrhein-Westfalen ist die zuständige Behörde zur Beurteilung, ob Antragstellende über die für die Ausübung des Berufs der Pflegefachfrauen und Pflegefachmänner, Altenpflegerinnen und -pfleger, Gesundheits- und Krankenpflegerinnen und -pfleger und Gesundheits- und Kinderkrankenpflegerinnen und -pfleger erforderlichen Kenntnisse der deutschen Sprache verfügen.</w:t>
      </w:r>
    </w:p>
    <w:p>
      <w:r>
        <w:t xml:space="preserve">III. Teil</w:t>
      </w:r>
    </w:p>
    <w:p>
      <w:r>
        <w:t xml:space="preserve">Inkrafttreten</w:t>
      </w:r>
    </w:p>
    <w:p>
      <w:r>
        <w:rPr>
          <w:color w:val="555555"/>
          <w:sz w:val="17"/>
        </w:rPr>
        <w:t xml:space="preserve">Zitiervorschlag: § 7 ZustVO HB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https://recht.nulegal.eu/gesetze/ZustVO%20HB/7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