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ZustVO HB (Nordrhein-Westfalen)</w:t>
      </w:r>
    </w:p>
    <w:p>
      <w:r>
        <w:rPr>
          <w:color w:val="555555"/>
          <w:sz w:val="18"/>
        </w:rPr>
        <w:t xml:space="preserve">Zuständigkeitsverordnung Heilberufe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Fachbereichsrat der Universität ist die zuständige Stelle im Sinne der Anlage 1 zu § 2 Absatz 2 der Approbationsordnung für Apotheker.</w:t>
      </w:r>
    </w:p>
    <w:p>
      <w:r>
        <w:t xml:space="preserve">II. Teil</w:t>
      </w:r>
    </w:p>
    <w:p>
      <w:r>
        <w:t xml:space="preserve">Pflege- und Gesundheitsfachberufe, Heilpraktikerinnen und Heilpraktiker</w:t>
      </w:r>
    </w:p>
    <w:p>
      <w:r>
        <w:rPr>
          <w:color w:val="555555"/>
          <w:sz w:val="17"/>
        </w:rPr>
        <w:t xml:space="preserve">Zitiervorschlag: § 4 ZustVO HB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https://recht.nulegal.eu/gesetze/ZustVO%20HB/4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