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 Forst (Nordrhein-Westfalen) — Forstschäden-Ausgleichsgesetz</w:t>
      </w:r>
    </w:p>
    <w:p>
      <w:r>
        <w:rPr>
          <w:color w:val="555555"/>
          <w:sz w:val="18"/>
        </w:rPr>
        <w:t xml:space="preserve">Zuständigkeitsverordnung Forst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 für die Befreiung einzelner Forstbetriebe von Einschlagsbeschränkungen nach § 1 Absatz 5 Satz 2 des Forstschäden-Ausgleichsgesetzes in der Fassung der Bekanntmachung vom 26. August 1985 (BGBl. I S. 1756), das zuletzt durch Artikel 10 des Gesetzes vom 1. November 2011 (BGBl. I. S. 2131) geändert worden ist, ist der Landesbetrieb Wald und Holz.</w:t>
      </w:r>
    </w:p>
    <w:p>
      <w:r>
        <w:t xml:space="preserve">(2) Die Zuständigkeit für die Verfolgung und Ahndung von Ordnungswidrigkeiten nach § 11 des Forstschäden-Ausgleichsgesetzes wird auf den Landesbetrieb Wald und Holz übertragen.</w:t>
      </w:r>
    </w:p>
    <w:p>
      <w:r>
        <w:rPr>
          <w:color w:val="555555"/>
          <w:sz w:val="17"/>
        </w:rPr>
        <w:t xml:space="preserve">Zitiervorschlag: § 3 ZustVO Forst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https://recht.nulegal.eu/gesetze/ZustVO%20Forst/3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