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ZustVO AtStrlSch (Nordrhein-Westfalen) — Inkrafttreten, Berichtspflicht</w:t>
      </w:r>
    </w:p>
    <w:p>
      <w:r>
        <w:rPr>
          <w:color w:val="555555"/>
          <w:sz w:val="18"/>
        </w:rPr>
        <w:t xml:space="preserve">Zuständigkeitsverordnung Atom- und Strahlenschutzrecht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Tag nach der Verkündung in Kraft.</w:t>
      </w:r>
    </w:p>
    <w:p>
      <w:r>
        <w:t xml:space="preserve">(2) Das für den Arbeitsschutz zuständige Ministerium berichtet dem Landtag bis zum 31. Dezember 2027 über die Erfahrungen mit dieser Verordnung.</w:t>
      </w:r>
    </w:p>
    <w:p>
      <w:r>
        <w:t xml:space="preserve">Die Landesregierung Nordrhein-Westfalen</w:t>
      </w:r>
    </w:p>
    <w:p>
      <w:r>
        <w:t xml:space="preserve">Der Ministerpräsident</w:t>
      </w:r>
    </w:p>
    <w:p>
      <w:r>
        <w:t xml:space="preserve">Die Ministerin für Wirtschaft, Industrie, Klimaschutz und Energie</w:t>
      </w:r>
    </w:p>
    <w:p>
      <w:r>
        <w:t xml:space="preserve">Der Minister des Innern</w:t>
      </w:r>
    </w:p>
    <w:p>
      <w:r>
        <w:t xml:space="preserve">Der Minister für Arbeit, Gesundheit und Soziales</w:t>
      </w:r>
    </w:p>
    <w:p>
      <w:r>
        <w:t xml:space="preserve">Die Ministerin für Heimat, Kommunales, Bau und Digitalisierung</w:t>
      </w:r>
    </w:p>
    <w:p>
      <w:r>
        <w:t xml:space="preserve">Der Minister für Umwelt, Naturschutz und Verkehr</w:t>
      </w:r>
    </w:p>
    <w:p>
      <w:r>
        <w:t xml:space="preserve">Die Ministerin für Landwirtschaft und Verbraucherschutz</w:t>
      </w:r>
    </w:p>
    <w:p>
      <w:r>
        <w:rPr>
          <w:color w:val="555555"/>
          <w:sz w:val="17"/>
        </w:rPr>
        <w:t xml:space="preserve">Zitiervorschlag: § 5 ZustVO AtStrlSch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https://recht.nulegal.eu/gesetze/ZustVO%20AtStrlSch/5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