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ZustVO AtStrlSch (Nordrhein-Westfalen) — Zuständigkeit bei Ordnungswidrigkeiten</w:t>
      </w:r>
    </w:p>
    <w:p>
      <w:r>
        <w:rPr>
          <w:color w:val="555555"/>
          <w:sz w:val="18"/>
        </w:rPr>
        <w:t xml:space="preserve">Zuständigkeitsverordnung Atom- und Strahlenschutzrecht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die Verfolgung und Ahndung von Ordnungswidrigkeiten sind die Bezirksregierungen, soweit nicht in Anlage 2 andere Stellen für die Verfolgung und Ahndung der dort aufgeführten Ordnungswidrigkeiten als zuständig bestimmt sind.</w:t>
      </w:r>
    </w:p>
    <w:p>
      <w:r>
        <w:rPr>
          <w:color w:val="555555"/>
          <w:sz w:val="17"/>
        </w:rPr>
        <w:t xml:space="preserve">Zitiervorschlag: § 4 ZustVO AtStrlSch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https://recht.nulegal.eu/gesetze/ZustVO%20AtStrlSch/4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