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ZustVO ArbtG (Nordrhein-Westfalen) — Sonstige Rechtsvorschriften</w:t>
      </w:r>
    </w:p>
    <w:p>
      <w:r>
        <w:rPr>
          <w:color w:val="555555"/>
          <w:sz w:val="18"/>
        </w:rPr>
        <w:t xml:space="preserve">Zuständigkeitsverordnung Arbeits- und technischer Gefahrenschutz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Zuständigkeiten auf Grund des Lebensmittel- und Futtermittelgesetzbuches in der Fassung der Bekanntmachung vom 15. September 2021 (BGBl. I S. 4253) in der jeweils geltenden Fassung und anderer gesetzlicher Bestimmungen sowie die Zuständigkeiten im Atom- und Strahlenschutzrecht werden durch diese Verordnung nicht berührt.</w:t>
      </w:r>
    </w:p>
    <w:p>
      <w:r>
        <w:rPr>
          <w:color w:val="555555"/>
          <w:sz w:val="17"/>
        </w:rPr>
        <w:t xml:space="preserve">Zitiervorschlag: § 2 ZustVO ArbtG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https://recht.nulegal.eu/gesetze/ZustVO%20ArbtG/2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ZustVO ArbtG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