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ZustVBau (Bayern) — Zuständigkeit für fliegende Bauten</w:t>
      </w:r>
    </w:p>
    <w:p>
      <w:r>
        <w:rPr>
          <w:color w:val="555555"/>
          <w:sz w:val="18"/>
        </w:rPr>
        <w:t xml:space="preserve">Zuständigkeitsverordnung im Bauwesen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Zur Entscheidung über die Ausführungsgenehmigung für fliegende Bauten nach Art. 72 Abs. 2 BayBO sind</w:t>
      </w:r>
    </w:p>
    <w:p>
      <w:r>
        <w:t xml:space="preserve">– die TÜV SÜD Industrie Service GmbH, München, für die Regierungsbezirke Oberbayern, Niederbayern, Oberpfalz und Schwaben und</w:t>
      </w:r>
    </w:p>
    <w:p>
      <w:r>
        <w:t xml:space="preserve">– die LGA (Landesgewerbeanstalt Bayern), Nürnberg, für die Regierungsbezirke Oberfranken, Mittelfranken und Unterfranken zuständig.</w:t>
      </w:r>
    </w:p>
    <w:p>
      <w:r>
        <w:rPr>
          <w:color w:val="555555"/>
          <w:sz w:val="17"/>
        </w:rPr>
        <w:t xml:space="preserve">Zitiervorschlag: § 6 ZustVBau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https://recht.nulegal.eu/gesetze/ZustVBau/6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