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ZustVBau (Bayern) — Übertragung nach Art. 53 Abs. 2 BayBO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der unteren Bauaufsichtsbehörde im Sinn von Art. 53 Abs. 2 Satz 1 BayBO werden den Städten Burghausen, Feuchtwangen, Friedberg, Sulzbach-Rosenberg, Waldkraiburg und Alzenau i. UFr. sowie dem Markt Garmisch-Partenkirchen und der Gemeinde Vaterstetten übertragen.</w:t>
      </w:r>
    </w:p>
    <w:p>
      <w:r>
        <w:t xml:space="preserve">(2) Die Aufgaben der unteren Bauaufsichtsbehörde im Sinn von Art. 83 Abs. 9 BayBO sind den Städten Pfaffenhofen a.d.Ilm und Waldsassen übertragen.</w:t>
      </w:r>
    </w:p>
    <w:p>
      <w:r>
        <w:rPr>
          <w:color w:val="555555"/>
          <w:sz w:val="17"/>
        </w:rPr>
        <w:t xml:space="preserve">Zitiervorschlag: § 5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