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ZustVBau (Bayern) — Zuständigkeit für Bescheinigungen</w:t>
      </w:r>
    </w:p>
    <w:p>
      <w:r>
        <w:rPr>
          <w:color w:val="555555"/>
          <w:sz w:val="18"/>
        </w:rPr>
        <w:t xml:space="preserve">Zuständigkeitsverordnung im Bauwesen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unteren Bauaufsichtsbehörden sind zuständige Behörden für die Bescheinigungen nach § 6b Abs. 9 des Einkommensteuergesetzes und nach § 7 Abs. 4 Satz 1 Nr. 2 und § 32 Abs. 2 Satz 2 Nr. 2 des Wohnungseigentumsgesetzes.</w:t>
      </w:r>
    </w:p>
    <w:p>
      <w:r>
        <w:rPr>
          <w:color w:val="555555"/>
          <w:sz w:val="17"/>
        </w:rPr>
        <w:t xml:space="preserve">Zitiervorschlag: § 4 ZustVBau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https://recht.nulegal.eu/gesetze/ZustVBau/4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