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ZustVBau (Bayern) — Zuständigkeit für Enteignungen und vergleichbare Verfahren</w:t>
      </w:r>
    </w:p>
    <w:p>
      <w:r>
        <w:rPr>
          <w:color w:val="555555"/>
          <w:sz w:val="18"/>
        </w:rPr>
        <w:t xml:space="preserve">Zuständigkeitsverordnung im Bauwesen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Enteignungen nach dem Baugesetzbuch und Verfahren, in denen die Enteignungsbehörde in entsprechender Anwendung der Vorschriften des Fünften Teils des Ersten Kapitels des Baugesetzbuchs zu entscheiden hat, führen die Kreisverwaltungsbehörden durch (Enteignungsbehörden).</w:t>
      </w:r>
    </w:p>
    <w:p>
      <w:r>
        <w:t xml:space="preserve">(2) Ist in von Abs. 1 nicht erfaßten Fällen eine Entschädigung in Geld, durch Übernahme eines Grundstücks oder Begründung eines Rechts zu leisten, werden die Aufgaben der höheren Verwaltungsbehörde, die darüber mangels Einigung des Entschädigungsberechtigten und des Entschädigungsverpflichteten zu entscheiden hat, den Kreisverwaltungsbehörden übertragen (§ 18 Abs. 2 Satz 4, § 28 Abs. 6 Satz 3, § 43 Abs. 2 Satz 1, § 126 Abs. 2 Satz 2, § 150 Abs. 2, § 185 Abs. 2 Satz 2 und Abs. 3 Satz 3, § 209 Abs. 2 Satz 1 Halbsatz 2 BauGB).</w:t>
      </w:r>
    </w:p>
    <w:p>
      <w:r>
        <w:t xml:space="preserve">(3) Die Zustimmung zum Antrag auf Durchführung einer Unternehmensflurbereinigung (§ 190 Abs. 1 Satz 1 BauGB) erteilt die Kreisverwaltungsbehörde.</w:t>
      </w:r>
    </w:p>
    <w:p>
      <w:r>
        <w:rPr>
          <w:color w:val="555555"/>
          <w:sz w:val="17"/>
        </w:rPr>
        <w:t xml:space="preserve">Zitiervorschlag: § 3 ZustVBau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https://recht.nulegal.eu/gesetze/ZustVBau/3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