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ZustVBau (Bayern) — Zuständigkeiten der Regierungen</w:t>
      </w:r>
    </w:p>
    <w:p>
      <w:r>
        <w:rPr>
          <w:color w:val="555555"/>
          <w:sz w:val="18"/>
        </w:rPr>
        <w:t xml:space="preserve">Zuständigkeitsverordnung im Bauwesen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Regierung ist zuständige Behörde für die Zustimmung zur Beschränkung der Kosten- und Finanzierungsübersicht nach § 149 Abs. 4 Satz 1 des Baugesetzbuchs (BauGB).</w:t>
      </w:r>
    </w:p>
    <w:p>
      <w:r>
        <w:t xml:space="preserve">(2) Die Regierung ist zuständige Behörde zum Erlaß von Rechtsverordnungen nach § 203 Abs. 1 BauGB; soweit Gemeinden aus verschiedenen Regierungsbezirken betroffen sind, ist das Staatsministerium für Wohnen, Bau und Verkehr zuständige Behörde.</w:t>
      </w:r>
    </w:p>
    <w:p>
      <w:r>
        <w:rPr>
          <w:color w:val="555555"/>
          <w:sz w:val="17"/>
        </w:rPr>
        <w:t xml:space="preserve">Zitiervorschlag: § 1 ZustVBau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https://recht.nulegal.eu/gesetze/ZustVBau/1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